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7529" w14:textId="6B129866" w:rsidR="00433966" w:rsidRPr="009D0D6D" w:rsidRDefault="009D0D6D">
      <w:pPr>
        <w:rPr>
          <w:b/>
          <w:sz w:val="34"/>
          <w:szCs w:val="34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Pr="009D0D6D">
        <w:rPr>
          <w:b/>
          <w:color w:val="7030A0"/>
          <w:sz w:val="34"/>
          <w:szCs w:val="34"/>
        </w:rPr>
        <w:t>University of Brighton</w:t>
      </w:r>
    </w:p>
    <w:p w14:paraId="164D83EF" w14:textId="77777777" w:rsidR="00433966" w:rsidRDefault="00433966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383838"/>
          <w:lang w:val="en-US"/>
        </w:rPr>
        <w:drawing>
          <wp:inline distT="0" distB="0" distL="0" distR="0" wp14:anchorId="64A29BDB" wp14:editId="4D420CC1">
            <wp:extent cx="26924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19BA" w14:textId="77777777" w:rsidR="00433966" w:rsidRDefault="00433966">
      <w:pPr>
        <w:rPr>
          <w:b/>
          <w:sz w:val="32"/>
          <w:szCs w:val="32"/>
        </w:rPr>
      </w:pPr>
    </w:p>
    <w:p w14:paraId="28A6CD5D" w14:textId="77777777" w:rsidR="001C5292" w:rsidRPr="002774B2" w:rsidRDefault="0073082F">
      <w:pPr>
        <w:rPr>
          <w:b/>
          <w:sz w:val="32"/>
          <w:szCs w:val="32"/>
        </w:rPr>
      </w:pPr>
      <w:r w:rsidRPr="002774B2">
        <w:rPr>
          <w:b/>
          <w:sz w:val="32"/>
          <w:szCs w:val="32"/>
        </w:rPr>
        <w:t xml:space="preserve">How to check your workload allocation </w:t>
      </w:r>
    </w:p>
    <w:p w14:paraId="222125A1" w14:textId="77777777" w:rsidR="0073082F" w:rsidRDefault="0073082F"/>
    <w:p w14:paraId="6CAD57D8" w14:textId="77777777" w:rsidR="005B7AB5" w:rsidRPr="005B7AB5" w:rsidRDefault="005B7AB5">
      <w:pPr>
        <w:rPr>
          <w:b/>
        </w:rPr>
      </w:pPr>
      <w:r w:rsidRPr="005B7AB5">
        <w:rPr>
          <w:b/>
        </w:rPr>
        <w:t>Introduction</w:t>
      </w:r>
    </w:p>
    <w:p w14:paraId="510FE8D0" w14:textId="77777777" w:rsidR="005B7AB5" w:rsidRDefault="005B7AB5">
      <w:pPr>
        <w:rPr>
          <w:sz w:val="22"/>
          <w:szCs w:val="22"/>
        </w:rPr>
      </w:pPr>
      <w:r>
        <w:rPr>
          <w:sz w:val="22"/>
          <w:szCs w:val="22"/>
        </w:rPr>
        <w:t xml:space="preserve">Different schools across the university have had different methods for allocating and recording workloads.  This is being standardised by the introduction of </w:t>
      </w:r>
      <w:r w:rsidR="003C7485">
        <w:rPr>
          <w:sz w:val="22"/>
          <w:szCs w:val="22"/>
        </w:rPr>
        <w:t xml:space="preserve">workload allocation software being rolled out to all schools for the 2017/18 session. </w:t>
      </w:r>
      <w:r w:rsidR="00FB08CB">
        <w:rPr>
          <w:sz w:val="22"/>
          <w:szCs w:val="22"/>
        </w:rPr>
        <w:t xml:space="preserve"> </w:t>
      </w:r>
      <w:r w:rsidR="00433966">
        <w:rPr>
          <w:sz w:val="22"/>
          <w:szCs w:val="22"/>
        </w:rPr>
        <w:t>All</w:t>
      </w:r>
      <w:r w:rsidR="002774B2">
        <w:rPr>
          <w:sz w:val="22"/>
          <w:szCs w:val="22"/>
        </w:rPr>
        <w:t xml:space="preserve"> </w:t>
      </w:r>
      <w:r w:rsidR="00FB08CB">
        <w:rPr>
          <w:sz w:val="22"/>
          <w:szCs w:val="22"/>
        </w:rPr>
        <w:t xml:space="preserve">lecturing staff </w:t>
      </w:r>
      <w:r w:rsidR="002774B2">
        <w:rPr>
          <w:sz w:val="22"/>
          <w:szCs w:val="22"/>
        </w:rPr>
        <w:t xml:space="preserve">workloads will be </w:t>
      </w:r>
      <w:r w:rsidR="00433966">
        <w:rPr>
          <w:sz w:val="22"/>
          <w:szCs w:val="22"/>
        </w:rPr>
        <w:t>recorded</w:t>
      </w:r>
      <w:r w:rsidR="00FB08CB">
        <w:rPr>
          <w:sz w:val="22"/>
          <w:szCs w:val="22"/>
        </w:rPr>
        <w:t xml:space="preserve"> and open to scrutiny via this software system by September 2017.  Whether it is via the software system or more traditional means, all lecturing staff should </w:t>
      </w:r>
      <w:r w:rsidR="003C7485">
        <w:rPr>
          <w:sz w:val="22"/>
          <w:szCs w:val="22"/>
        </w:rPr>
        <w:t>be issued with a workload allocation statement</w:t>
      </w:r>
      <w:r>
        <w:rPr>
          <w:sz w:val="22"/>
          <w:szCs w:val="22"/>
        </w:rPr>
        <w:t xml:space="preserve"> for the 2017-18 session</w:t>
      </w:r>
      <w:r w:rsidR="00FB08CB">
        <w:rPr>
          <w:sz w:val="22"/>
          <w:szCs w:val="22"/>
        </w:rPr>
        <w:t xml:space="preserve"> by July</w:t>
      </w:r>
      <w:r>
        <w:rPr>
          <w:sz w:val="22"/>
          <w:szCs w:val="22"/>
        </w:rPr>
        <w:t xml:space="preserve"> 2017</w:t>
      </w:r>
      <w:r w:rsidR="003C7485">
        <w:rPr>
          <w:sz w:val="22"/>
          <w:szCs w:val="22"/>
        </w:rPr>
        <w:t xml:space="preserve">.  </w:t>
      </w:r>
    </w:p>
    <w:p w14:paraId="6A634A67" w14:textId="77777777" w:rsidR="005B7AB5" w:rsidRDefault="005B7AB5">
      <w:pPr>
        <w:rPr>
          <w:sz w:val="22"/>
          <w:szCs w:val="22"/>
        </w:rPr>
      </w:pPr>
    </w:p>
    <w:p w14:paraId="7E2A3F42" w14:textId="77777777" w:rsidR="003C7485" w:rsidRDefault="00FB08CB">
      <w:pPr>
        <w:rPr>
          <w:sz w:val="22"/>
          <w:szCs w:val="22"/>
        </w:rPr>
      </w:pPr>
      <w:r>
        <w:rPr>
          <w:sz w:val="22"/>
          <w:szCs w:val="22"/>
        </w:rPr>
        <w:t>For the workload allocation to be</w:t>
      </w:r>
      <w:r w:rsidR="003C7485">
        <w:rPr>
          <w:sz w:val="22"/>
          <w:szCs w:val="22"/>
        </w:rPr>
        <w:t xml:space="preserve"> compliant with the HEFCE Transparent Approach to Costing (TRAC) guidance, staff will be required to ‘accept’ their</w:t>
      </w:r>
      <w:r>
        <w:rPr>
          <w:sz w:val="22"/>
          <w:szCs w:val="22"/>
        </w:rPr>
        <w:t xml:space="preserve"> workload.  This means that you will need to </w:t>
      </w:r>
      <w:r w:rsidR="003C7485">
        <w:rPr>
          <w:sz w:val="22"/>
          <w:szCs w:val="22"/>
        </w:rPr>
        <w:t xml:space="preserve">confirm the accuracy of your workload allocation.  </w:t>
      </w:r>
      <w:r w:rsidR="004E5EC8">
        <w:rPr>
          <w:sz w:val="22"/>
          <w:szCs w:val="22"/>
        </w:rPr>
        <w:t xml:space="preserve">In a context of reduction in staffing and consequent increased pressure on the workloads of remaining staff, </w:t>
      </w:r>
      <w:r w:rsidR="003C7485">
        <w:rPr>
          <w:sz w:val="22"/>
          <w:szCs w:val="22"/>
        </w:rPr>
        <w:t>it is important that we all understand the principles of workload allocation agreed in the recent Workload Agreement between the University and the UCU.</w:t>
      </w:r>
    </w:p>
    <w:p w14:paraId="35C9D21F" w14:textId="77777777" w:rsidR="003C7485" w:rsidRDefault="003C7485">
      <w:pPr>
        <w:rPr>
          <w:sz w:val="22"/>
          <w:szCs w:val="22"/>
        </w:rPr>
      </w:pPr>
    </w:p>
    <w:p w14:paraId="1A8EAE94" w14:textId="77777777" w:rsidR="005B7AB5" w:rsidRPr="005B7AB5" w:rsidRDefault="005B7AB5">
      <w:pPr>
        <w:rPr>
          <w:b/>
        </w:rPr>
      </w:pPr>
      <w:r w:rsidRPr="005B7AB5">
        <w:rPr>
          <w:b/>
        </w:rPr>
        <w:t>Basic principles of academic workload allocation</w:t>
      </w:r>
    </w:p>
    <w:p w14:paraId="6ECC29E5" w14:textId="77777777" w:rsidR="0073082F" w:rsidRPr="001D01E1" w:rsidRDefault="003C7485">
      <w:pPr>
        <w:rPr>
          <w:sz w:val="22"/>
          <w:szCs w:val="22"/>
        </w:rPr>
      </w:pPr>
      <w:r>
        <w:rPr>
          <w:sz w:val="22"/>
          <w:szCs w:val="22"/>
        </w:rPr>
        <w:t>The f</w:t>
      </w:r>
      <w:r w:rsidR="000D1996" w:rsidRPr="001D01E1">
        <w:rPr>
          <w:sz w:val="22"/>
          <w:szCs w:val="22"/>
        </w:rPr>
        <w:t xml:space="preserve">ull-time </w:t>
      </w:r>
      <w:r w:rsidR="0073082F" w:rsidRPr="001D01E1">
        <w:rPr>
          <w:sz w:val="22"/>
          <w:szCs w:val="22"/>
        </w:rPr>
        <w:t>total wor</w:t>
      </w:r>
      <w:r w:rsidR="000D1996" w:rsidRPr="001D01E1">
        <w:rPr>
          <w:sz w:val="22"/>
          <w:szCs w:val="22"/>
        </w:rPr>
        <w:t>kload which can be allocated is 1,600 hours per year.</w:t>
      </w:r>
    </w:p>
    <w:p w14:paraId="297036FF" w14:textId="7E36B968" w:rsidR="005B7AB5" w:rsidRDefault="00F30F57">
      <w:pPr>
        <w:rPr>
          <w:sz w:val="22"/>
          <w:szCs w:val="22"/>
        </w:rPr>
      </w:pPr>
      <w:r w:rsidRPr="001D01E1">
        <w:rPr>
          <w:sz w:val="22"/>
          <w:szCs w:val="22"/>
        </w:rPr>
        <w:t>Of this</w:t>
      </w:r>
      <w:r w:rsidR="005B7AB5">
        <w:rPr>
          <w:sz w:val="22"/>
          <w:szCs w:val="22"/>
        </w:rPr>
        <w:t>,</w:t>
      </w:r>
      <w:r w:rsidRPr="001D01E1">
        <w:rPr>
          <w:sz w:val="22"/>
          <w:szCs w:val="22"/>
        </w:rPr>
        <w:t xml:space="preserve"> </w:t>
      </w:r>
      <w:r w:rsidR="00BF2E35" w:rsidRPr="001D01E1">
        <w:rPr>
          <w:sz w:val="22"/>
          <w:szCs w:val="22"/>
        </w:rPr>
        <w:t xml:space="preserve">500 hours </w:t>
      </w:r>
      <w:r w:rsidR="008771A4">
        <w:rPr>
          <w:sz w:val="22"/>
          <w:szCs w:val="22"/>
        </w:rPr>
        <w:t>are</w:t>
      </w:r>
      <w:r w:rsidR="00017968" w:rsidRPr="001D01E1">
        <w:rPr>
          <w:sz w:val="22"/>
          <w:szCs w:val="22"/>
        </w:rPr>
        <w:t xml:space="preserve"> allocated to </w:t>
      </w:r>
      <w:r w:rsidR="0019453D">
        <w:rPr>
          <w:sz w:val="22"/>
          <w:szCs w:val="22"/>
        </w:rPr>
        <w:t>Research and Scholarly A</w:t>
      </w:r>
      <w:r w:rsidR="000D1996" w:rsidRPr="001D01E1">
        <w:rPr>
          <w:sz w:val="22"/>
          <w:szCs w:val="22"/>
        </w:rPr>
        <w:t xml:space="preserve">ctivity </w:t>
      </w:r>
      <w:r w:rsidR="0019453D">
        <w:rPr>
          <w:sz w:val="22"/>
          <w:szCs w:val="22"/>
        </w:rPr>
        <w:t>and General A</w:t>
      </w:r>
      <w:r w:rsidR="00017968" w:rsidRPr="001D01E1">
        <w:rPr>
          <w:sz w:val="22"/>
          <w:szCs w:val="22"/>
        </w:rPr>
        <w:t xml:space="preserve">dministration </w:t>
      </w:r>
      <w:r w:rsidR="00FB53A0" w:rsidRPr="001D01E1">
        <w:rPr>
          <w:sz w:val="22"/>
          <w:szCs w:val="22"/>
        </w:rPr>
        <w:t>(</w:t>
      </w:r>
      <w:r w:rsidR="00BF2E35" w:rsidRPr="001D01E1">
        <w:rPr>
          <w:sz w:val="22"/>
          <w:szCs w:val="22"/>
        </w:rPr>
        <w:t xml:space="preserve">320 and 180 hours </w:t>
      </w:r>
      <w:r w:rsidR="00017968" w:rsidRPr="001D01E1">
        <w:rPr>
          <w:sz w:val="22"/>
          <w:szCs w:val="22"/>
        </w:rPr>
        <w:t>respectively</w:t>
      </w:r>
      <w:r w:rsidR="00FB53A0" w:rsidRPr="001D01E1">
        <w:rPr>
          <w:sz w:val="22"/>
          <w:szCs w:val="22"/>
        </w:rPr>
        <w:t>)</w:t>
      </w:r>
      <w:r w:rsidR="00017968" w:rsidRPr="001D01E1">
        <w:rPr>
          <w:sz w:val="22"/>
          <w:szCs w:val="22"/>
        </w:rPr>
        <w:t xml:space="preserve">. </w:t>
      </w:r>
      <w:r w:rsidR="005B7AB5">
        <w:rPr>
          <w:sz w:val="22"/>
          <w:szCs w:val="22"/>
        </w:rPr>
        <w:t xml:space="preserve"> </w:t>
      </w:r>
      <w:r w:rsidR="000D1996" w:rsidRPr="001D01E1">
        <w:rPr>
          <w:sz w:val="22"/>
          <w:szCs w:val="22"/>
        </w:rPr>
        <w:t xml:space="preserve">This leaves 1,100 </w:t>
      </w:r>
      <w:r w:rsidR="0019453D">
        <w:rPr>
          <w:sz w:val="22"/>
          <w:szCs w:val="22"/>
        </w:rPr>
        <w:t>T</w:t>
      </w:r>
      <w:r w:rsidR="00462B4A">
        <w:rPr>
          <w:sz w:val="22"/>
          <w:szCs w:val="22"/>
        </w:rPr>
        <w:t xml:space="preserve">eaching </w:t>
      </w:r>
      <w:r w:rsidR="000D1996" w:rsidRPr="001D01E1">
        <w:rPr>
          <w:sz w:val="22"/>
          <w:szCs w:val="22"/>
        </w:rPr>
        <w:t>hours whi</w:t>
      </w:r>
      <w:r w:rsidR="00462B4A">
        <w:rPr>
          <w:sz w:val="22"/>
          <w:szCs w:val="22"/>
        </w:rPr>
        <w:t xml:space="preserve">ch can be allocated to </w:t>
      </w:r>
      <w:r w:rsidR="005B7AB5">
        <w:rPr>
          <w:sz w:val="22"/>
          <w:szCs w:val="22"/>
        </w:rPr>
        <w:t xml:space="preserve">contact </w:t>
      </w:r>
      <w:r w:rsidR="00BD13A2">
        <w:rPr>
          <w:sz w:val="22"/>
          <w:szCs w:val="22"/>
        </w:rPr>
        <w:t>and teaching-</w:t>
      </w:r>
      <w:r w:rsidR="000D1996" w:rsidRPr="001D01E1">
        <w:rPr>
          <w:sz w:val="22"/>
          <w:szCs w:val="22"/>
        </w:rPr>
        <w:t xml:space="preserve">related activity </w:t>
      </w:r>
      <w:r w:rsidR="005B5CB1" w:rsidRPr="001D01E1">
        <w:rPr>
          <w:sz w:val="22"/>
          <w:szCs w:val="22"/>
        </w:rPr>
        <w:t>(TRA)</w:t>
      </w:r>
      <w:r w:rsidR="005B7AB5">
        <w:rPr>
          <w:sz w:val="22"/>
          <w:szCs w:val="22"/>
        </w:rPr>
        <w:t>.</w:t>
      </w:r>
      <w:r w:rsidR="005B5CB1" w:rsidRPr="001D01E1">
        <w:rPr>
          <w:sz w:val="22"/>
          <w:szCs w:val="22"/>
        </w:rPr>
        <w:t xml:space="preserve"> </w:t>
      </w:r>
      <w:r w:rsidR="005B7AB5">
        <w:rPr>
          <w:sz w:val="22"/>
          <w:szCs w:val="22"/>
        </w:rPr>
        <w:t>What is counted as cont</w:t>
      </w:r>
      <w:r w:rsidR="00BD13A2">
        <w:rPr>
          <w:sz w:val="22"/>
          <w:szCs w:val="22"/>
        </w:rPr>
        <w:t>act and teaching-</w:t>
      </w:r>
      <w:r w:rsidR="005B7AB5">
        <w:rPr>
          <w:sz w:val="22"/>
          <w:szCs w:val="22"/>
        </w:rPr>
        <w:t xml:space="preserve">related activity is outlined in appendix 1 and 2 of the workload agreement (available on the UCU website </w:t>
      </w:r>
      <w:hyperlink r:id="rId7" w:history="1">
        <w:r w:rsidR="00287E31" w:rsidRPr="00DE38B3">
          <w:rPr>
            <w:rStyle w:val="Hyperlink"/>
            <w:sz w:val="22"/>
            <w:szCs w:val="22"/>
          </w:rPr>
          <w:t>http://ucu.brighton.ac.uk</w:t>
        </w:r>
      </w:hyperlink>
      <w:r w:rsidR="00287E31">
        <w:rPr>
          <w:sz w:val="22"/>
          <w:szCs w:val="22"/>
        </w:rPr>
        <w:t xml:space="preserve"> )</w:t>
      </w:r>
    </w:p>
    <w:p w14:paraId="7662C26D" w14:textId="77777777" w:rsidR="00657BD1" w:rsidRDefault="00657BD1">
      <w:pPr>
        <w:rPr>
          <w:sz w:val="22"/>
          <w:szCs w:val="22"/>
        </w:rPr>
      </w:pPr>
    </w:p>
    <w:p w14:paraId="50FA9167" w14:textId="2B524A76" w:rsidR="005B7AB5" w:rsidRDefault="002A7022" w:rsidP="002A702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0EFF4FBC" wp14:editId="412D0D59">
            <wp:extent cx="4584192" cy="27553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5F036" w14:textId="77777777" w:rsidR="002A7022" w:rsidRDefault="002A7022">
      <w:pPr>
        <w:rPr>
          <w:sz w:val="22"/>
          <w:szCs w:val="22"/>
        </w:rPr>
      </w:pPr>
    </w:p>
    <w:p w14:paraId="37A9022C" w14:textId="3676175E" w:rsidR="000D1996" w:rsidRPr="001D01E1" w:rsidRDefault="005B7AB5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CA0DF0" w:rsidRPr="001D01E1">
        <w:rPr>
          <w:sz w:val="22"/>
          <w:szCs w:val="22"/>
        </w:rPr>
        <w:t xml:space="preserve"> average ratio </w:t>
      </w:r>
      <w:r w:rsidR="00287E31">
        <w:rPr>
          <w:sz w:val="22"/>
          <w:szCs w:val="22"/>
        </w:rPr>
        <w:t>of contact to</w:t>
      </w:r>
      <w:r>
        <w:rPr>
          <w:sz w:val="22"/>
          <w:szCs w:val="22"/>
        </w:rPr>
        <w:t xml:space="preserve"> TRA</w:t>
      </w:r>
      <w:r w:rsidR="004836A5" w:rsidRPr="001D01E1">
        <w:rPr>
          <w:sz w:val="22"/>
          <w:szCs w:val="22"/>
        </w:rPr>
        <w:t xml:space="preserve"> across school</w:t>
      </w:r>
      <w:r w:rsidR="005B5CB1" w:rsidRPr="001D01E1">
        <w:rPr>
          <w:sz w:val="22"/>
          <w:szCs w:val="22"/>
        </w:rPr>
        <w:t>s</w:t>
      </w:r>
      <w:r w:rsidR="004836A5" w:rsidRPr="001D01E1">
        <w:rPr>
          <w:sz w:val="22"/>
          <w:szCs w:val="22"/>
        </w:rPr>
        <w:t xml:space="preserve"> </w:t>
      </w:r>
      <w:r>
        <w:rPr>
          <w:sz w:val="22"/>
          <w:szCs w:val="22"/>
        </w:rPr>
        <w:t>must be</w:t>
      </w:r>
      <w:r w:rsidR="004836A5" w:rsidRPr="001D01E1">
        <w:rPr>
          <w:sz w:val="22"/>
          <w:szCs w:val="22"/>
        </w:rPr>
        <w:t xml:space="preserve"> a minimum of 1</w:t>
      </w:r>
      <w:r w:rsidR="003C7485">
        <w:rPr>
          <w:sz w:val="22"/>
          <w:szCs w:val="22"/>
        </w:rPr>
        <w:t xml:space="preserve"> hour </w:t>
      </w:r>
      <w:r w:rsidR="0019453D">
        <w:rPr>
          <w:sz w:val="22"/>
          <w:szCs w:val="22"/>
        </w:rPr>
        <w:t xml:space="preserve">of </w:t>
      </w:r>
      <w:r w:rsidR="003C7485">
        <w:rPr>
          <w:sz w:val="22"/>
          <w:szCs w:val="22"/>
        </w:rPr>
        <w:t xml:space="preserve">teaching contact </w:t>
      </w:r>
      <w:r w:rsidR="00287E31">
        <w:rPr>
          <w:sz w:val="22"/>
          <w:szCs w:val="22"/>
        </w:rPr>
        <w:t xml:space="preserve">to </w:t>
      </w:r>
      <w:r w:rsidR="004836A5" w:rsidRPr="001D01E1">
        <w:rPr>
          <w:sz w:val="22"/>
          <w:szCs w:val="22"/>
        </w:rPr>
        <w:t>1.3</w:t>
      </w:r>
      <w:r w:rsidR="003C7485">
        <w:rPr>
          <w:sz w:val="22"/>
          <w:szCs w:val="22"/>
        </w:rPr>
        <w:t xml:space="preserve"> hours </w:t>
      </w:r>
      <w:r w:rsidR="00287E31">
        <w:rPr>
          <w:sz w:val="22"/>
          <w:szCs w:val="22"/>
        </w:rPr>
        <w:t xml:space="preserve">of </w:t>
      </w:r>
      <w:r>
        <w:rPr>
          <w:sz w:val="22"/>
          <w:szCs w:val="22"/>
        </w:rPr>
        <w:t>TRA</w:t>
      </w:r>
      <w:r w:rsidR="00BF2E35" w:rsidRPr="001D01E1">
        <w:rPr>
          <w:sz w:val="22"/>
          <w:szCs w:val="22"/>
        </w:rPr>
        <w:t xml:space="preserve">.  </w:t>
      </w:r>
      <w:r w:rsidR="003C7485">
        <w:rPr>
          <w:sz w:val="22"/>
          <w:szCs w:val="22"/>
        </w:rPr>
        <w:t>Across schools,</w:t>
      </w:r>
      <w:r w:rsidR="004836A5" w:rsidRPr="001D01E1">
        <w:rPr>
          <w:sz w:val="22"/>
          <w:szCs w:val="22"/>
        </w:rPr>
        <w:t xml:space="preserve"> f</w:t>
      </w:r>
      <w:r w:rsidR="00CA0DF0" w:rsidRPr="001D01E1">
        <w:rPr>
          <w:sz w:val="22"/>
          <w:szCs w:val="22"/>
        </w:rPr>
        <w:t xml:space="preserve">or every </w:t>
      </w:r>
      <w:r w:rsidR="004836A5" w:rsidRPr="001D01E1">
        <w:rPr>
          <w:sz w:val="22"/>
          <w:szCs w:val="22"/>
        </w:rPr>
        <w:t>hour of teaching allocated there should be a minimum of 1.3 hours of teac</w:t>
      </w:r>
      <w:r w:rsidR="00BD13A2">
        <w:rPr>
          <w:sz w:val="22"/>
          <w:szCs w:val="22"/>
        </w:rPr>
        <w:t>hing-</w:t>
      </w:r>
      <w:r w:rsidR="003C7485">
        <w:rPr>
          <w:sz w:val="22"/>
          <w:szCs w:val="22"/>
        </w:rPr>
        <w:t xml:space="preserve">related activity allocated. </w:t>
      </w:r>
      <w:r w:rsidR="004E5EC8">
        <w:rPr>
          <w:sz w:val="22"/>
          <w:szCs w:val="22"/>
        </w:rPr>
        <w:t xml:space="preserve"> While, in some cases the ratio</w:t>
      </w:r>
      <w:r w:rsidR="003C7485">
        <w:rPr>
          <w:sz w:val="22"/>
          <w:szCs w:val="22"/>
        </w:rPr>
        <w:t xml:space="preserve"> may be higher</w:t>
      </w:r>
      <w:r w:rsidR="005B5CB1" w:rsidRPr="001D01E1">
        <w:rPr>
          <w:sz w:val="22"/>
          <w:szCs w:val="22"/>
        </w:rPr>
        <w:t>,</w:t>
      </w:r>
      <w:r w:rsidR="004836A5" w:rsidRPr="001D01E1">
        <w:rPr>
          <w:sz w:val="22"/>
          <w:szCs w:val="22"/>
        </w:rPr>
        <w:t xml:space="preserve"> for any individual lecturer the ratio should never fall below 1</w:t>
      </w:r>
      <w:r w:rsidR="002B6530" w:rsidRPr="001D01E1">
        <w:rPr>
          <w:sz w:val="22"/>
          <w:szCs w:val="22"/>
        </w:rPr>
        <w:t xml:space="preserve"> teaching contact hour </w:t>
      </w:r>
      <w:r w:rsidR="00287E31">
        <w:rPr>
          <w:sz w:val="22"/>
          <w:szCs w:val="22"/>
        </w:rPr>
        <w:t xml:space="preserve">to </w:t>
      </w:r>
      <w:r w:rsidR="004836A5" w:rsidRPr="001D01E1">
        <w:rPr>
          <w:sz w:val="22"/>
          <w:szCs w:val="22"/>
        </w:rPr>
        <w:t>1</w:t>
      </w:r>
      <w:r w:rsidR="002B6530" w:rsidRPr="001D01E1">
        <w:rPr>
          <w:sz w:val="22"/>
          <w:szCs w:val="22"/>
        </w:rPr>
        <w:t xml:space="preserve"> </w:t>
      </w:r>
      <w:r w:rsidR="00287E31">
        <w:rPr>
          <w:sz w:val="22"/>
          <w:szCs w:val="22"/>
        </w:rPr>
        <w:t xml:space="preserve">hour of </w:t>
      </w:r>
      <w:r w:rsidR="002B6530" w:rsidRPr="001D01E1">
        <w:rPr>
          <w:sz w:val="22"/>
          <w:szCs w:val="22"/>
        </w:rPr>
        <w:t xml:space="preserve">TRA </w:t>
      </w:r>
      <w:r w:rsidR="00287E31">
        <w:rPr>
          <w:sz w:val="22"/>
          <w:szCs w:val="22"/>
        </w:rPr>
        <w:t xml:space="preserve">(and this </w:t>
      </w:r>
      <w:r w:rsidR="00287E31">
        <w:rPr>
          <w:sz w:val="22"/>
          <w:szCs w:val="22"/>
        </w:rPr>
        <w:lastRenderedPageBreak/>
        <w:t xml:space="preserve">would only apply to exceptional </w:t>
      </w:r>
      <w:r w:rsidR="004E5EC8">
        <w:rPr>
          <w:sz w:val="22"/>
          <w:szCs w:val="22"/>
        </w:rPr>
        <w:t>circumstances where the amounts of TRA are demonstrably lower than the norm</w:t>
      </w:r>
      <w:r w:rsidR="009D0D6D">
        <w:rPr>
          <w:sz w:val="22"/>
          <w:szCs w:val="22"/>
        </w:rPr>
        <w:t>)</w:t>
      </w:r>
      <w:r w:rsidR="004836A5" w:rsidRPr="001D01E1">
        <w:rPr>
          <w:sz w:val="22"/>
          <w:szCs w:val="22"/>
        </w:rPr>
        <w:t xml:space="preserve">.  </w:t>
      </w:r>
    </w:p>
    <w:p w14:paraId="69C51F15" w14:textId="77777777" w:rsidR="004836A5" w:rsidRPr="001D01E1" w:rsidRDefault="004836A5">
      <w:pPr>
        <w:rPr>
          <w:sz w:val="22"/>
          <w:szCs w:val="22"/>
        </w:rPr>
      </w:pPr>
    </w:p>
    <w:p w14:paraId="4A46654F" w14:textId="7E841732" w:rsidR="004836A5" w:rsidRDefault="004836A5">
      <w:pPr>
        <w:rPr>
          <w:sz w:val="22"/>
          <w:szCs w:val="22"/>
        </w:rPr>
      </w:pPr>
      <w:r w:rsidRPr="001D01E1">
        <w:rPr>
          <w:sz w:val="22"/>
          <w:szCs w:val="22"/>
        </w:rPr>
        <w:t>This means tha</w:t>
      </w:r>
      <w:r w:rsidR="009D0D6D">
        <w:rPr>
          <w:sz w:val="22"/>
          <w:szCs w:val="22"/>
        </w:rPr>
        <w:t>t your teaching contact hours sh</w:t>
      </w:r>
      <w:r w:rsidRPr="001D01E1">
        <w:rPr>
          <w:sz w:val="22"/>
          <w:szCs w:val="22"/>
        </w:rPr>
        <w:t>ould never exceed 550</w:t>
      </w:r>
      <w:r w:rsidR="005B5CB1" w:rsidRPr="001D01E1">
        <w:rPr>
          <w:sz w:val="22"/>
          <w:szCs w:val="22"/>
        </w:rPr>
        <w:t xml:space="preserve"> hours </w:t>
      </w:r>
      <w:r w:rsidRPr="001D01E1">
        <w:rPr>
          <w:sz w:val="22"/>
          <w:szCs w:val="22"/>
        </w:rPr>
        <w:t xml:space="preserve">and </w:t>
      </w:r>
      <w:r w:rsidR="009D0D6D">
        <w:rPr>
          <w:sz w:val="22"/>
          <w:szCs w:val="22"/>
        </w:rPr>
        <w:t xml:space="preserve">only approach this figure if your contact hours require minimal or no preparation and marking.  </w:t>
      </w:r>
      <w:r w:rsidR="002A7022">
        <w:rPr>
          <w:sz w:val="22"/>
          <w:szCs w:val="22"/>
        </w:rPr>
        <w:t xml:space="preserve">Your </w:t>
      </w:r>
      <w:r w:rsidR="008771A4">
        <w:rPr>
          <w:sz w:val="22"/>
          <w:szCs w:val="22"/>
        </w:rPr>
        <w:t>teaching hours (</w:t>
      </w:r>
      <w:r w:rsidR="002A7022">
        <w:rPr>
          <w:sz w:val="22"/>
          <w:szCs w:val="22"/>
        </w:rPr>
        <w:t>contact and TRA combined</w:t>
      </w:r>
      <w:r w:rsidR="008771A4">
        <w:rPr>
          <w:sz w:val="22"/>
          <w:szCs w:val="22"/>
        </w:rPr>
        <w:t>)</w:t>
      </w:r>
      <w:r w:rsidR="002A7022">
        <w:rPr>
          <w:sz w:val="22"/>
          <w:szCs w:val="22"/>
        </w:rPr>
        <w:t xml:space="preserve"> must not exceed 1100 hours.</w:t>
      </w:r>
      <w:r w:rsidR="009D0D6D">
        <w:rPr>
          <w:sz w:val="22"/>
          <w:szCs w:val="22"/>
        </w:rPr>
        <w:t xml:space="preserve"> I</w:t>
      </w:r>
      <w:r w:rsidRPr="001D01E1">
        <w:rPr>
          <w:sz w:val="22"/>
          <w:szCs w:val="22"/>
        </w:rPr>
        <w:t>f y</w:t>
      </w:r>
      <w:r w:rsidR="0019453D">
        <w:rPr>
          <w:sz w:val="22"/>
          <w:szCs w:val="22"/>
        </w:rPr>
        <w:t>our workload conforms with the minimum s</w:t>
      </w:r>
      <w:r w:rsidRPr="001D01E1">
        <w:rPr>
          <w:sz w:val="22"/>
          <w:szCs w:val="22"/>
        </w:rPr>
        <w:t>chool average</w:t>
      </w:r>
      <w:r w:rsidR="008771A4">
        <w:rPr>
          <w:sz w:val="22"/>
          <w:szCs w:val="22"/>
        </w:rPr>
        <w:t>,</w:t>
      </w:r>
      <w:r w:rsidRPr="001D01E1">
        <w:rPr>
          <w:sz w:val="22"/>
          <w:szCs w:val="22"/>
        </w:rPr>
        <w:t xml:space="preserve"> </w:t>
      </w:r>
      <w:r w:rsidR="002B6530" w:rsidRPr="001D01E1">
        <w:rPr>
          <w:sz w:val="22"/>
          <w:szCs w:val="22"/>
        </w:rPr>
        <w:t xml:space="preserve">your teaching contact hours </w:t>
      </w:r>
      <w:r w:rsidRPr="001D01E1">
        <w:rPr>
          <w:sz w:val="22"/>
          <w:szCs w:val="22"/>
        </w:rPr>
        <w:t xml:space="preserve">should not exceed 478 hours </w:t>
      </w:r>
      <w:r w:rsidR="00CC73C0">
        <w:rPr>
          <w:sz w:val="22"/>
          <w:szCs w:val="22"/>
        </w:rPr>
        <w:t>and could be lower if higher ratios are used</w:t>
      </w:r>
      <w:r w:rsidR="005B5CB1" w:rsidRPr="001D01E1">
        <w:rPr>
          <w:sz w:val="22"/>
          <w:szCs w:val="22"/>
        </w:rPr>
        <w:t xml:space="preserve">. </w:t>
      </w:r>
    </w:p>
    <w:p w14:paraId="53CD9FA0" w14:textId="77777777" w:rsidR="00CC73C0" w:rsidRDefault="00CC73C0">
      <w:pPr>
        <w:rPr>
          <w:sz w:val="22"/>
          <w:szCs w:val="22"/>
        </w:rPr>
      </w:pPr>
    </w:p>
    <w:p w14:paraId="12719B50" w14:textId="6C5442FB" w:rsidR="00CC73C0" w:rsidRPr="001D01E1" w:rsidRDefault="002A7022" w:rsidP="002A702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779A8CAB" wp14:editId="3F5B9F2D">
            <wp:extent cx="4584192" cy="2755392"/>
            <wp:effectExtent l="19050" t="0" r="26035" b="8070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rt 6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8000"/>
                              </a14:imgEffect>
                              <a14:imgEffect>
                                <a14:brightnessContrast bright="13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27553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9A96B22" w14:textId="77777777" w:rsidR="005B5CB1" w:rsidRPr="001D01E1" w:rsidRDefault="005B5CB1">
      <w:pPr>
        <w:rPr>
          <w:sz w:val="22"/>
          <w:szCs w:val="22"/>
        </w:rPr>
      </w:pPr>
    </w:p>
    <w:p w14:paraId="437FAC40" w14:textId="77777777" w:rsidR="004E5EC8" w:rsidRPr="004E5EC8" w:rsidRDefault="004E5EC8">
      <w:pPr>
        <w:rPr>
          <w:b/>
        </w:rPr>
      </w:pPr>
      <w:r w:rsidRPr="004E5EC8">
        <w:rPr>
          <w:b/>
        </w:rPr>
        <w:t>Remission from teaching time for other activities</w:t>
      </w:r>
    </w:p>
    <w:p w14:paraId="13FFF63C" w14:textId="63AF5AEA" w:rsidR="00B0177F" w:rsidRDefault="004E5EC8">
      <w:pPr>
        <w:rPr>
          <w:sz w:val="22"/>
          <w:szCs w:val="22"/>
        </w:rPr>
      </w:pPr>
      <w:r>
        <w:rPr>
          <w:sz w:val="22"/>
          <w:szCs w:val="22"/>
        </w:rPr>
        <w:t>Any additional non-teaching activities must ne</w:t>
      </w:r>
      <w:r w:rsidR="009D0D6D">
        <w:rPr>
          <w:sz w:val="22"/>
          <w:szCs w:val="22"/>
        </w:rPr>
        <w:t xml:space="preserve">cessarily be allocated time against the 1100 hours available for </w:t>
      </w:r>
      <w:r w:rsidR="00462B4A">
        <w:rPr>
          <w:sz w:val="22"/>
          <w:szCs w:val="22"/>
        </w:rPr>
        <w:t>teaching,</w:t>
      </w:r>
      <w:r w:rsidR="00B0177F">
        <w:rPr>
          <w:sz w:val="22"/>
          <w:szCs w:val="22"/>
        </w:rPr>
        <w:t xml:space="preserve"> i.e. </w:t>
      </w:r>
      <w:r w:rsidR="009D0D6D">
        <w:rPr>
          <w:sz w:val="22"/>
          <w:szCs w:val="22"/>
        </w:rPr>
        <w:t xml:space="preserve">these duties must be accommodated by </w:t>
      </w:r>
      <w:r w:rsidR="00B0177F">
        <w:rPr>
          <w:sz w:val="22"/>
          <w:szCs w:val="22"/>
        </w:rPr>
        <w:t xml:space="preserve">remission from teaching.  </w:t>
      </w:r>
    </w:p>
    <w:p w14:paraId="5D960D40" w14:textId="593FA311" w:rsidR="005B5CB1" w:rsidRDefault="00B0177F" w:rsidP="00B017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177F">
        <w:rPr>
          <w:b/>
          <w:sz w:val="22"/>
          <w:szCs w:val="22"/>
        </w:rPr>
        <w:t>Additional research</w:t>
      </w:r>
      <w:r>
        <w:rPr>
          <w:sz w:val="22"/>
          <w:szCs w:val="22"/>
        </w:rPr>
        <w:t xml:space="preserve">: </w:t>
      </w:r>
      <w:r w:rsidRPr="00B0177F">
        <w:rPr>
          <w:sz w:val="22"/>
          <w:szCs w:val="22"/>
        </w:rPr>
        <w:t>You</w:t>
      </w:r>
      <w:r w:rsidR="005B5CB1" w:rsidRPr="00B0177F">
        <w:rPr>
          <w:sz w:val="22"/>
          <w:szCs w:val="22"/>
        </w:rPr>
        <w:t xml:space="preserve"> may</w:t>
      </w:r>
      <w:r w:rsidRPr="00B0177F">
        <w:rPr>
          <w:sz w:val="22"/>
          <w:szCs w:val="22"/>
        </w:rPr>
        <w:t>, for example,</w:t>
      </w:r>
      <w:r w:rsidR="005B5CB1" w:rsidRPr="00B0177F">
        <w:rPr>
          <w:sz w:val="22"/>
          <w:szCs w:val="22"/>
        </w:rPr>
        <w:t xml:space="preserve"> be allocated </w:t>
      </w:r>
      <w:r w:rsidRPr="00B0177F">
        <w:rPr>
          <w:sz w:val="22"/>
          <w:szCs w:val="22"/>
        </w:rPr>
        <w:t xml:space="preserve">200 hours of </w:t>
      </w:r>
      <w:r w:rsidR="005B5CB1" w:rsidRPr="00B0177F">
        <w:rPr>
          <w:sz w:val="22"/>
          <w:szCs w:val="22"/>
        </w:rPr>
        <w:t xml:space="preserve">research time in addition to the 320 hours </w:t>
      </w:r>
      <w:r w:rsidR="00CC73C0">
        <w:rPr>
          <w:sz w:val="22"/>
          <w:szCs w:val="22"/>
        </w:rPr>
        <w:t xml:space="preserve">Research and Scholarly Activity (RSA) time </w:t>
      </w:r>
      <w:r w:rsidR="005B5CB1" w:rsidRPr="00B0177F">
        <w:rPr>
          <w:sz w:val="22"/>
          <w:szCs w:val="22"/>
        </w:rPr>
        <w:t xml:space="preserve">which is </w:t>
      </w:r>
      <w:r w:rsidR="00BF2E35" w:rsidRPr="00B0177F">
        <w:rPr>
          <w:sz w:val="22"/>
          <w:szCs w:val="22"/>
        </w:rPr>
        <w:t xml:space="preserve">in the contract for </w:t>
      </w:r>
      <w:r w:rsidR="005B5CB1" w:rsidRPr="00B0177F">
        <w:rPr>
          <w:sz w:val="22"/>
          <w:szCs w:val="22"/>
        </w:rPr>
        <w:t xml:space="preserve">lecturing staff at the university. </w:t>
      </w:r>
      <w:r w:rsidRPr="00B0177F">
        <w:rPr>
          <w:sz w:val="22"/>
          <w:szCs w:val="22"/>
        </w:rPr>
        <w:t>This will</w:t>
      </w:r>
      <w:r w:rsidR="005B5CB1" w:rsidRPr="00B0177F">
        <w:rPr>
          <w:sz w:val="22"/>
          <w:szCs w:val="22"/>
        </w:rPr>
        <w:t xml:space="preserve"> reduce the hours available for the allocation of</w:t>
      </w:r>
      <w:r w:rsidRPr="00B0177F">
        <w:rPr>
          <w:sz w:val="22"/>
          <w:szCs w:val="22"/>
        </w:rPr>
        <w:t xml:space="preserve"> teaching from 1100 to 900</w:t>
      </w:r>
      <w:r w:rsidR="005B5CB1" w:rsidRPr="00B0177F">
        <w:rPr>
          <w:sz w:val="22"/>
          <w:szCs w:val="22"/>
        </w:rPr>
        <w:t xml:space="preserve">.  </w:t>
      </w:r>
    </w:p>
    <w:p w14:paraId="66770F73" w14:textId="77777777" w:rsidR="002A7022" w:rsidRPr="002A7022" w:rsidRDefault="002A7022" w:rsidP="002A7022">
      <w:pPr>
        <w:ind w:left="360"/>
        <w:rPr>
          <w:sz w:val="22"/>
          <w:szCs w:val="22"/>
        </w:rPr>
      </w:pPr>
    </w:p>
    <w:p w14:paraId="60872597" w14:textId="484F045E" w:rsidR="005B5CB1" w:rsidRDefault="002A7022" w:rsidP="002A702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1A6766EA" wp14:editId="3D50F941">
            <wp:extent cx="4584192" cy="27553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rt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F38EA" w14:textId="77777777" w:rsidR="002A7022" w:rsidRPr="001D01E1" w:rsidRDefault="002A7022" w:rsidP="002A7022">
      <w:pPr>
        <w:jc w:val="center"/>
        <w:rPr>
          <w:sz w:val="22"/>
          <w:szCs w:val="22"/>
        </w:rPr>
      </w:pPr>
    </w:p>
    <w:p w14:paraId="3BBA0DCA" w14:textId="76BB5D48" w:rsidR="007D6D68" w:rsidRDefault="00B0177F" w:rsidP="00B017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177F">
        <w:rPr>
          <w:b/>
          <w:sz w:val="22"/>
          <w:szCs w:val="22"/>
        </w:rPr>
        <w:t>C</w:t>
      </w:r>
      <w:r w:rsidR="005B5CB1" w:rsidRPr="00B0177F">
        <w:rPr>
          <w:b/>
          <w:sz w:val="22"/>
          <w:szCs w:val="22"/>
        </w:rPr>
        <w:t>ourse leadership</w:t>
      </w:r>
      <w:r>
        <w:rPr>
          <w:sz w:val="22"/>
          <w:szCs w:val="22"/>
        </w:rPr>
        <w:t>:</w:t>
      </w:r>
      <w:r w:rsidR="005B5CB1" w:rsidRPr="00B0177F">
        <w:rPr>
          <w:sz w:val="22"/>
          <w:szCs w:val="22"/>
        </w:rPr>
        <w:t xml:space="preserve"> </w:t>
      </w:r>
      <w:r w:rsidR="00DC59BB" w:rsidRPr="00B0177F">
        <w:rPr>
          <w:sz w:val="22"/>
          <w:szCs w:val="22"/>
        </w:rPr>
        <w:t>The workload agreement specifies that the allocation of hours for managerial and administrative roles should be based on a time allocation split of 90:10 between the 1100 hours available for teaching and the 180 hours allocated for general administrative duties.  This means that i</w:t>
      </w:r>
      <w:r w:rsidR="00DA01C8">
        <w:rPr>
          <w:sz w:val="22"/>
          <w:szCs w:val="22"/>
        </w:rPr>
        <w:t>f you have 3</w:t>
      </w:r>
      <w:r w:rsidR="005B5CB1" w:rsidRPr="00B0177F">
        <w:rPr>
          <w:sz w:val="22"/>
          <w:szCs w:val="22"/>
        </w:rPr>
        <w:t xml:space="preserve">20 </w:t>
      </w:r>
      <w:r w:rsidR="00DC59BB" w:rsidRPr="00B0177F">
        <w:rPr>
          <w:sz w:val="22"/>
          <w:szCs w:val="22"/>
        </w:rPr>
        <w:t xml:space="preserve">hours for course leadership, </w:t>
      </w:r>
      <w:r w:rsidR="00DA01C8">
        <w:rPr>
          <w:sz w:val="22"/>
          <w:szCs w:val="22"/>
        </w:rPr>
        <w:t>32</w:t>
      </w:r>
      <w:r w:rsidR="00DC59BB" w:rsidRPr="00B0177F">
        <w:rPr>
          <w:sz w:val="22"/>
          <w:szCs w:val="22"/>
        </w:rPr>
        <w:t xml:space="preserve"> hours (10%) will come from your 180 hours general admin allocation and 2</w:t>
      </w:r>
      <w:r w:rsidR="00DA01C8">
        <w:rPr>
          <w:sz w:val="22"/>
          <w:szCs w:val="22"/>
        </w:rPr>
        <w:t>88</w:t>
      </w:r>
      <w:r w:rsidR="00DC59BB" w:rsidRPr="00B0177F">
        <w:rPr>
          <w:sz w:val="22"/>
          <w:szCs w:val="22"/>
        </w:rPr>
        <w:t xml:space="preserve"> will come from </w:t>
      </w:r>
      <w:r w:rsidR="005B5CB1" w:rsidRPr="00B0177F">
        <w:rPr>
          <w:sz w:val="22"/>
          <w:szCs w:val="22"/>
        </w:rPr>
        <w:t xml:space="preserve">the time available </w:t>
      </w:r>
      <w:r w:rsidRPr="00B0177F">
        <w:rPr>
          <w:sz w:val="22"/>
          <w:szCs w:val="22"/>
        </w:rPr>
        <w:t>for</w:t>
      </w:r>
      <w:r w:rsidR="00DC59BB" w:rsidRPr="00B0177F">
        <w:rPr>
          <w:sz w:val="22"/>
          <w:szCs w:val="22"/>
        </w:rPr>
        <w:t xml:space="preserve"> teaching.  In this example, this would mean that the time available for teaching would further reduce to </w:t>
      </w:r>
      <w:r w:rsidR="00DA01C8">
        <w:rPr>
          <w:sz w:val="22"/>
          <w:szCs w:val="22"/>
        </w:rPr>
        <w:t xml:space="preserve">612 </w:t>
      </w:r>
      <w:r w:rsidR="00DC59BB" w:rsidRPr="00B0177F">
        <w:rPr>
          <w:sz w:val="22"/>
          <w:szCs w:val="22"/>
        </w:rPr>
        <w:t>(900-</w:t>
      </w:r>
      <w:r w:rsidR="00DA01C8">
        <w:rPr>
          <w:sz w:val="22"/>
          <w:szCs w:val="22"/>
        </w:rPr>
        <w:t>288</w:t>
      </w:r>
      <w:r w:rsidR="00DC59BB" w:rsidRPr="00B0177F">
        <w:rPr>
          <w:sz w:val="22"/>
          <w:szCs w:val="22"/>
        </w:rPr>
        <w:t>=</w:t>
      </w:r>
      <w:r w:rsidR="00DA01C8">
        <w:rPr>
          <w:sz w:val="22"/>
          <w:szCs w:val="22"/>
        </w:rPr>
        <w:t>612</w:t>
      </w:r>
      <w:r w:rsidR="00DC59BB" w:rsidRPr="00B0177F">
        <w:rPr>
          <w:sz w:val="22"/>
          <w:szCs w:val="22"/>
        </w:rPr>
        <w:t xml:space="preserve">). </w:t>
      </w:r>
      <w:r>
        <w:rPr>
          <w:sz w:val="22"/>
          <w:szCs w:val="22"/>
        </w:rPr>
        <w:br/>
      </w:r>
    </w:p>
    <w:p w14:paraId="4CC3BC45" w14:textId="417C7BED" w:rsidR="00DA01C8" w:rsidRPr="00DA01C8" w:rsidRDefault="002A7022" w:rsidP="002A702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5FAB1986" wp14:editId="70F462F1">
            <wp:extent cx="4584192" cy="27553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art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C2428" w14:textId="02E74313" w:rsidR="00DA01C8" w:rsidRPr="00DA01C8" w:rsidRDefault="00DA01C8" w:rsidP="00DA01C8">
      <w:pPr>
        <w:ind w:left="360"/>
        <w:rPr>
          <w:sz w:val="22"/>
          <w:szCs w:val="22"/>
        </w:rPr>
      </w:pPr>
    </w:p>
    <w:p w14:paraId="08BEA85D" w14:textId="1B247E7D" w:rsidR="00067EB0" w:rsidRDefault="00067EB0" w:rsidP="00B017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67EB0">
        <w:rPr>
          <w:b/>
          <w:sz w:val="22"/>
          <w:szCs w:val="22"/>
        </w:rPr>
        <w:t>Module leadership:</w:t>
      </w:r>
      <w:r>
        <w:rPr>
          <w:sz w:val="22"/>
          <w:szCs w:val="22"/>
        </w:rPr>
        <w:t xml:space="preserve"> </w:t>
      </w:r>
      <w:r w:rsidRPr="00067EB0">
        <w:rPr>
          <w:sz w:val="22"/>
          <w:szCs w:val="22"/>
        </w:rPr>
        <w:t>A 10 credit module taken by a small cohort (less than 20 students) requires a minimum of 10 hours remission with higher rates of remission required for larger modules and larger cohorts.</w:t>
      </w:r>
      <w:r w:rsidR="009D0D6D">
        <w:rPr>
          <w:sz w:val="22"/>
          <w:szCs w:val="22"/>
        </w:rPr>
        <w:t xml:space="preserve"> In this example, </w:t>
      </w:r>
      <w:r>
        <w:rPr>
          <w:sz w:val="22"/>
          <w:szCs w:val="22"/>
        </w:rPr>
        <w:t>a module leader for two 20 credit modules with over 30 students a</w:t>
      </w:r>
      <w:r w:rsidR="00C969C0">
        <w:rPr>
          <w:sz w:val="22"/>
          <w:szCs w:val="22"/>
        </w:rPr>
        <w:t xml:space="preserve">nd several tutors </w:t>
      </w:r>
      <w:r w:rsidR="009D0D6D">
        <w:rPr>
          <w:sz w:val="22"/>
          <w:szCs w:val="22"/>
        </w:rPr>
        <w:t>gets</w:t>
      </w:r>
      <w:r>
        <w:rPr>
          <w:sz w:val="22"/>
          <w:szCs w:val="22"/>
        </w:rPr>
        <w:t xml:space="preserve"> 30 hours remission for the leadership of each module further reducing the tim</w:t>
      </w:r>
      <w:r w:rsidR="00462B4A">
        <w:rPr>
          <w:sz w:val="22"/>
          <w:szCs w:val="22"/>
        </w:rPr>
        <w:t>e available for teaching</w:t>
      </w:r>
      <w:r>
        <w:rPr>
          <w:sz w:val="22"/>
          <w:szCs w:val="22"/>
        </w:rPr>
        <w:t xml:space="preserve"> to 552.</w:t>
      </w:r>
    </w:p>
    <w:p w14:paraId="6A849E5A" w14:textId="472F88B2" w:rsidR="002A7022" w:rsidRDefault="002A7022" w:rsidP="002A7022">
      <w:pPr>
        <w:rPr>
          <w:sz w:val="22"/>
          <w:szCs w:val="22"/>
        </w:rPr>
      </w:pPr>
    </w:p>
    <w:p w14:paraId="3578F624" w14:textId="29E36391" w:rsidR="002A7022" w:rsidRPr="002A7022" w:rsidRDefault="001B5C00" w:rsidP="001B5C00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136F6B60" wp14:editId="51E6186B">
            <wp:extent cx="4584192" cy="36697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art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366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022">
        <w:rPr>
          <w:sz w:val="22"/>
          <w:szCs w:val="22"/>
        </w:rPr>
        <w:br w:type="textWrapping" w:clear="all"/>
      </w:r>
    </w:p>
    <w:p w14:paraId="25B13269" w14:textId="77777777" w:rsidR="00067EB0" w:rsidRPr="00067EB0" w:rsidRDefault="00067EB0" w:rsidP="00067EB0">
      <w:pPr>
        <w:pStyle w:val="ListParagraph"/>
        <w:rPr>
          <w:sz w:val="22"/>
          <w:szCs w:val="22"/>
        </w:rPr>
      </w:pPr>
    </w:p>
    <w:p w14:paraId="6BAFC27E" w14:textId="62153722" w:rsidR="007D6D68" w:rsidRPr="00B0177F" w:rsidRDefault="00B0177F" w:rsidP="00B017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177F">
        <w:rPr>
          <w:b/>
          <w:sz w:val="22"/>
          <w:szCs w:val="22"/>
        </w:rPr>
        <w:t>N</w:t>
      </w:r>
      <w:r w:rsidR="00903E09" w:rsidRPr="00B0177F">
        <w:rPr>
          <w:b/>
          <w:sz w:val="22"/>
          <w:szCs w:val="22"/>
        </w:rPr>
        <w:t>ecessary travel time</w:t>
      </w:r>
      <w:r>
        <w:rPr>
          <w:sz w:val="22"/>
          <w:szCs w:val="22"/>
        </w:rPr>
        <w:t>: this</w:t>
      </w:r>
      <w:r w:rsidR="00903E09" w:rsidRPr="00B0177F">
        <w:rPr>
          <w:sz w:val="22"/>
          <w:szCs w:val="22"/>
        </w:rPr>
        <w:t xml:space="preserve"> needs to be included in the workload allocation on a 1:1 basis – i</w:t>
      </w:r>
      <w:r w:rsidR="00433966">
        <w:rPr>
          <w:sz w:val="22"/>
          <w:szCs w:val="22"/>
        </w:rPr>
        <w:t>.</w:t>
      </w:r>
      <w:r w:rsidR="00903E09" w:rsidRPr="00B0177F">
        <w:rPr>
          <w:sz w:val="22"/>
          <w:szCs w:val="22"/>
        </w:rPr>
        <w:t>e</w:t>
      </w:r>
      <w:r w:rsidR="00433966">
        <w:rPr>
          <w:sz w:val="22"/>
          <w:szCs w:val="22"/>
        </w:rPr>
        <w:t>.</w:t>
      </w:r>
      <w:r w:rsidR="00903E09" w:rsidRPr="00B0177F">
        <w:rPr>
          <w:sz w:val="22"/>
          <w:szCs w:val="22"/>
        </w:rPr>
        <w:t xml:space="preserve"> if you need to travel 1 hour</w:t>
      </w:r>
      <w:r w:rsidR="00FB5414" w:rsidRPr="00B0177F">
        <w:rPr>
          <w:sz w:val="22"/>
          <w:szCs w:val="22"/>
        </w:rPr>
        <w:t xml:space="preserve"> each way</w:t>
      </w:r>
      <w:r w:rsidR="00903E09" w:rsidRPr="00B0177F">
        <w:rPr>
          <w:sz w:val="22"/>
          <w:szCs w:val="22"/>
        </w:rPr>
        <w:t xml:space="preserve"> to teach a module of 12 sessions </w:t>
      </w:r>
      <w:r w:rsidR="00D40F8E" w:rsidRPr="00B0177F">
        <w:rPr>
          <w:sz w:val="22"/>
          <w:szCs w:val="22"/>
        </w:rPr>
        <w:t xml:space="preserve">or to </w:t>
      </w:r>
      <w:r w:rsidR="009D0D6D">
        <w:rPr>
          <w:sz w:val="22"/>
          <w:szCs w:val="22"/>
        </w:rPr>
        <w:t xml:space="preserve">travel on 12 occasions to </w:t>
      </w:r>
      <w:r w:rsidR="00D40F8E" w:rsidRPr="00B0177F">
        <w:rPr>
          <w:sz w:val="22"/>
          <w:szCs w:val="22"/>
        </w:rPr>
        <w:t xml:space="preserve">supervise 12 students on placement </w:t>
      </w:r>
      <w:r w:rsidR="00903E09" w:rsidRPr="00B0177F">
        <w:rPr>
          <w:sz w:val="22"/>
          <w:szCs w:val="22"/>
        </w:rPr>
        <w:t xml:space="preserve">at </w:t>
      </w:r>
      <w:r w:rsidR="00D40F8E" w:rsidRPr="00B0177F">
        <w:rPr>
          <w:sz w:val="22"/>
          <w:szCs w:val="22"/>
        </w:rPr>
        <w:t xml:space="preserve">a </w:t>
      </w:r>
      <w:r w:rsidR="00903E09" w:rsidRPr="00B0177F">
        <w:rPr>
          <w:sz w:val="22"/>
          <w:szCs w:val="22"/>
        </w:rPr>
        <w:t>site other than your usual workplace this should be shown as 12</w:t>
      </w:r>
      <w:r w:rsidR="00FB5414" w:rsidRPr="00B0177F">
        <w:rPr>
          <w:sz w:val="22"/>
          <w:szCs w:val="22"/>
        </w:rPr>
        <w:t>x2</w:t>
      </w:r>
      <w:r w:rsidR="00903E09" w:rsidRPr="00B0177F">
        <w:rPr>
          <w:sz w:val="22"/>
          <w:szCs w:val="22"/>
        </w:rPr>
        <w:t xml:space="preserve"> hours of travel time. In our e</w:t>
      </w:r>
      <w:r w:rsidR="00FB5414" w:rsidRPr="00B0177F">
        <w:rPr>
          <w:sz w:val="22"/>
          <w:szCs w:val="22"/>
        </w:rPr>
        <w:t xml:space="preserve">xample, </w:t>
      </w:r>
      <w:r w:rsidR="00D40F8E" w:rsidRPr="00B0177F">
        <w:rPr>
          <w:sz w:val="22"/>
          <w:szCs w:val="22"/>
        </w:rPr>
        <w:t>this reduces</w:t>
      </w:r>
      <w:r w:rsidR="00FB5414" w:rsidRPr="00B0177F">
        <w:rPr>
          <w:sz w:val="22"/>
          <w:szCs w:val="22"/>
        </w:rPr>
        <w:t xml:space="preserve"> the total </w:t>
      </w:r>
      <w:r w:rsidR="001D01E1" w:rsidRPr="00B0177F">
        <w:rPr>
          <w:sz w:val="22"/>
          <w:szCs w:val="22"/>
        </w:rPr>
        <w:t xml:space="preserve">left available for teaching </w:t>
      </w:r>
      <w:r w:rsidR="00067EB0">
        <w:rPr>
          <w:sz w:val="22"/>
          <w:szCs w:val="22"/>
        </w:rPr>
        <w:t>to 528</w:t>
      </w:r>
      <w:r w:rsidR="00903E09" w:rsidRPr="00B0177F">
        <w:rPr>
          <w:sz w:val="22"/>
          <w:szCs w:val="22"/>
        </w:rPr>
        <w:t xml:space="preserve"> hours.</w:t>
      </w:r>
    </w:p>
    <w:p w14:paraId="50C539E2" w14:textId="77777777" w:rsidR="00903E09" w:rsidRPr="001D01E1" w:rsidRDefault="00903E09">
      <w:pPr>
        <w:rPr>
          <w:sz w:val="22"/>
          <w:szCs w:val="22"/>
        </w:rPr>
      </w:pPr>
    </w:p>
    <w:p w14:paraId="394A7256" w14:textId="62F0F641" w:rsidR="00903E09" w:rsidRDefault="00B0177F" w:rsidP="00B0177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177F">
        <w:rPr>
          <w:b/>
          <w:sz w:val="22"/>
          <w:szCs w:val="22"/>
        </w:rPr>
        <w:t>Contingency time:</w:t>
      </w:r>
      <w:r>
        <w:rPr>
          <w:sz w:val="22"/>
          <w:szCs w:val="22"/>
        </w:rPr>
        <w:t xml:space="preserve"> </w:t>
      </w:r>
      <w:r w:rsidR="00903E09" w:rsidRPr="00B0177F">
        <w:rPr>
          <w:sz w:val="22"/>
          <w:szCs w:val="22"/>
        </w:rPr>
        <w:t>An allocation of a minimum of 30 ‘contingency’ hours also needs to be made to allow for in-year response to unexpected change in patterns of work (</w:t>
      </w:r>
      <w:proofErr w:type="spellStart"/>
      <w:r w:rsidR="00903E09" w:rsidRPr="00B0177F">
        <w:rPr>
          <w:sz w:val="22"/>
          <w:szCs w:val="22"/>
        </w:rPr>
        <w:t>eg</w:t>
      </w:r>
      <w:proofErr w:type="spellEnd"/>
      <w:r w:rsidR="00903E09" w:rsidRPr="00B0177F">
        <w:rPr>
          <w:sz w:val="22"/>
          <w:szCs w:val="22"/>
        </w:rPr>
        <w:t xml:space="preserve"> covering for staff illness).  The 30 hours would normally represent 13 hours of teaching and 17 hours of TRA.   In our example the inclusion of these contingency hours </w:t>
      </w:r>
      <w:r w:rsidR="00FB5414" w:rsidRPr="00B0177F">
        <w:rPr>
          <w:sz w:val="22"/>
          <w:szCs w:val="22"/>
        </w:rPr>
        <w:t xml:space="preserve">brings the total </w:t>
      </w:r>
      <w:r w:rsidR="001D01E1" w:rsidRPr="00B0177F">
        <w:rPr>
          <w:sz w:val="22"/>
          <w:szCs w:val="22"/>
        </w:rPr>
        <w:t xml:space="preserve">left available for teaching </w:t>
      </w:r>
      <w:r w:rsidR="00DA01C8">
        <w:rPr>
          <w:sz w:val="22"/>
          <w:szCs w:val="22"/>
        </w:rPr>
        <w:t xml:space="preserve">down to </w:t>
      </w:r>
      <w:r w:rsidR="00067EB0">
        <w:rPr>
          <w:sz w:val="22"/>
          <w:szCs w:val="22"/>
        </w:rPr>
        <w:t>498</w:t>
      </w:r>
      <w:r w:rsidR="00903E09" w:rsidRPr="00B0177F">
        <w:rPr>
          <w:sz w:val="22"/>
          <w:szCs w:val="22"/>
        </w:rPr>
        <w:t xml:space="preserve"> hours.  </w:t>
      </w:r>
    </w:p>
    <w:p w14:paraId="07A2A779" w14:textId="77777777" w:rsidR="002A7022" w:rsidRPr="002A7022" w:rsidRDefault="002A7022" w:rsidP="002A7022">
      <w:pPr>
        <w:rPr>
          <w:sz w:val="22"/>
          <w:szCs w:val="22"/>
        </w:rPr>
      </w:pPr>
    </w:p>
    <w:p w14:paraId="050E10AE" w14:textId="49465A80" w:rsidR="002A7022" w:rsidRPr="002A7022" w:rsidRDefault="006E1CE0" w:rsidP="002A702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2B0ACE7F" wp14:editId="2FDC1DD8">
            <wp:extent cx="4584192" cy="4078224"/>
            <wp:effectExtent l="0" t="0" r="0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art 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407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121E8" w14:textId="77777777" w:rsidR="00903E09" w:rsidRPr="001D01E1" w:rsidRDefault="00903E09">
      <w:pPr>
        <w:rPr>
          <w:sz w:val="22"/>
          <w:szCs w:val="22"/>
        </w:rPr>
      </w:pPr>
    </w:p>
    <w:p w14:paraId="444ECB39" w14:textId="6B2B5C45" w:rsidR="00903E09" w:rsidRPr="00AC079B" w:rsidRDefault="00B108F1" w:rsidP="00AC079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079B">
        <w:rPr>
          <w:b/>
          <w:sz w:val="22"/>
          <w:szCs w:val="22"/>
        </w:rPr>
        <w:t>Saturday/open day</w:t>
      </w:r>
      <w:r w:rsidR="00B0177F" w:rsidRPr="00AC079B">
        <w:rPr>
          <w:b/>
          <w:sz w:val="22"/>
          <w:szCs w:val="22"/>
        </w:rPr>
        <w:t>s:</w:t>
      </w:r>
      <w:r w:rsidR="00B0177F" w:rsidRPr="00AC079B">
        <w:rPr>
          <w:sz w:val="22"/>
          <w:szCs w:val="22"/>
        </w:rPr>
        <w:t xml:space="preserve"> where attendance of these</w:t>
      </w:r>
      <w:r w:rsidRPr="00AC079B">
        <w:rPr>
          <w:sz w:val="22"/>
          <w:szCs w:val="22"/>
        </w:rPr>
        <w:t xml:space="preserve"> </w:t>
      </w:r>
      <w:r w:rsidR="00B0177F" w:rsidRPr="00AC079B">
        <w:rPr>
          <w:sz w:val="22"/>
          <w:szCs w:val="22"/>
        </w:rPr>
        <w:t>is required,</w:t>
      </w:r>
      <w:r w:rsidRPr="00AC079B">
        <w:rPr>
          <w:sz w:val="22"/>
          <w:szCs w:val="22"/>
        </w:rPr>
        <w:t xml:space="preserve"> an allowance of 8 hours for a full day and 4 hours for a half day will be allocated from the teaching</w:t>
      </w:r>
      <w:r w:rsidR="00BD13A2">
        <w:rPr>
          <w:sz w:val="22"/>
          <w:szCs w:val="22"/>
        </w:rPr>
        <w:t xml:space="preserve"> time</w:t>
      </w:r>
      <w:r w:rsidRPr="00AC079B">
        <w:rPr>
          <w:sz w:val="22"/>
          <w:szCs w:val="22"/>
        </w:rPr>
        <w:t xml:space="preserve">.  In our example this means that if </w:t>
      </w:r>
      <w:r w:rsidR="00BD13A2">
        <w:rPr>
          <w:sz w:val="22"/>
          <w:szCs w:val="22"/>
        </w:rPr>
        <w:t>you are</w:t>
      </w:r>
      <w:r w:rsidRPr="00AC079B">
        <w:rPr>
          <w:sz w:val="22"/>
          <w:szCs w:val="22"/>
        </w:rPr>
        <w:t xml:space="preserve"> down to do two half day open days the total remaining to be allocated to</w:t>
      </w:r>
      <w:r w:rsidR="002B744B" w:rsidRPr="00AC079B">
        <w:rPr>
          <w:sz w:val="22"/>
          <w:szCs w:val="22"/>
        </w:rPr>
        <w:t xml:space="preserve"> teaching reduces t</w:t>
      </w:r>
      <w:r w:rsidR="00067EB0">
        <w:rPr>
          <w:sz w:val="22"/>
          <w:szCs w:val="22"/>
        </w:rPr>
        <w:t>o 490</w:t>
      </w:r>
      <w:r w:rsidR="002B744B" w:rsidRPr="00AC079B">
        <w:rPr>
          <w:sz w:val="22"/>
          <w:szCs w:val="22"/>
        </w:rPr>
        <w:t xml:space="preserve"> hours</w:t>
      </w:r>
      <w:r w:rsidRPr="00AC079B">
        <w:rPr>
          <w:sz w:val="22"/>
          <w:szCs w:val="22"/>
        </w:rPr>
        <w:t xml:space="preserve">. </w:t>
      </w:r>
    </w:p>
    <w:p w14:paraId="1DD732FC" w14:textId="77777777" w:rsidR="00AC079B" w:rsidRPr="00AC079B" w:rsidRDefault="00AC079B" w:rsidP="00AC079B"/>
    <w:p w14:paraId="171B0746" w14:textId="77777777" w:rsidR="00B108F1" w:rsidRPr="001D01E1" w:rsidRDefault="00B108F1">
      <w:pPr>
        <w:rPr>
          <w:sz w:val="22"/>
          <w:szCs w:val="22"/>
        </w:rPr>
      </w:pPr>
    </w:p>
    <w:p w14:paraId="02F2D71C" w14:textId="5D65B9FF" w:rsidR="00B108F1" w:rsidRPr="001D01E1" w:rsidRDefault="00FB5414">
      <w:pPr>
        <w:rPr>
          <w:sz w:val="22"/>
          <w:szCs w:val="22"/>
        </w:rPr>
      </w:pPr>
      <w:r w:rsidRPr="001D01E1">
        <w:rPr>
          <w:sz w:val="22"/>
          <w:szCs w:val="22"/>
        </w:rPr>
        <w:t xml:space="preserve">Counted against that </w:t>
      </w:r>
      <w:r w:rsidR="008771A4">
        <w:rPr>
          <w:sz w:val="22"/>
          <w:szCs w:val="22"/>
        </w:rPr>
        <w:t>49</w:t>
      </w:r>
      <w:r w:rsidR="00067EB0">
        <w:rPr>
          <w:sz w:val="22"/>
          <w:szCs w:val="22"/>
        </w:rPr>
        <w:t>0</w:t>
      </w:r>
      <w:r w:rsidR="00B108F1" w:rsidRPr="001D01E1">
        <w:rPr>
          <w:sz w:val="22"/>
          <w:szCs w:val="22"/>
        </w:rPr>
        <w:t xml:space="preserve"> hours should be all the teaching </w:t>
      </w:r>
      <w:r w:rsidR="00067EB0">
        <w:rPr>
          <w:sz w:val="22"/>
          <w:szCs w:val="22"/>
        </w:rPr>
        <w:t xml:space="preserve">contact </w:t>
      </w:r>
      <w:r w:rsidR="00B108F1" w:rsidRPr="001D01E1">
        <w:rPr>
          <w:sz w:val="22"/>
          <w:szCs w:val="22"/>
        </w:rPr>
        <w:t>activity</w:t>
      </w:r>
      <w:r w:rsidR="00067EB0">
        <w:rPr>
          <w:sz w:val="22"/>
          <w:szCs w:val="22"/>
        </w:rPr>
        <w:t xml:space="preserve"> and the associated TRA</w:t>
      </w:r>
      <w:r w:rsidR="00B108F1" w:rsidRPr="001D01E1">
        <w:rPr>
          <w:sz w:val="22"/>
          <w:szCs w:val="22"/>
        </w:rPr>
        <w:t xml:space="preserve"> I undertake.  This includes: </w:t>
      </w:r>
    </w:p>
    <w:p w14:paraId="3932F602" w14:textId="77777777" w:rsidR="008D098C" w:rsidRPr="001D01E1" w:rsidRDefault="008D098C" w:rsidP="008D09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1E1">
        <w:rPr>
          <w:sz w:val="22"/>
          <w:szCs w:val="22"/>
        </w:rPr>
        <w:t>Lectures</w:t>
      </w:r>
    </w:p>
    <w:p w14:paraId="73148457" w14:textId="77777777" w:rsidR="008D098C" w:rsidRPr="001D01E1" w:rsidRDefault="008D098C" w:rsidP="008D09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1E1">
        <w:rPr>
          <w:sz w:val="22"/>
          <w:szCs w:val="22"/>
        </w:rPr>
        <w:t>Seminars</w:t>
      </w:r>
    </w:p>
    <w:p w14:paraId="7525F7BC" w14:textId="77777777" w:rsidR="008D098C" w:rsidRPr="001D01E1" w:rsidRDefault="008D098C" w:rsidP="008D09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1E1">
        <w:rPr>
          <w:sz w:val="22"/>
          <w:szCs w:val="22"/>
        </w:rPr>
        <w:t>Tutorials dissertation or project supervision on taught undergraduate and post-graduate programmes</w:t>
      </w:r>
    </w:p>
    <w:p w14:paraId="4C9DEA7F" w14:textId="77777777" w:rsidR="008D098C" w:rsidRPr="001D01E1" w:rsidRDefault="008D098C" w:rsidP="008D09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1E1">
        <w:rPr>
          <w:sz w:val="22"/>
          <w:szCs w:val="22"/>
        </w:rPr>
        <w:t xml:space="preserve">Supervision and observation </w:t>
      </w:r>
      <w:proofErr w:type="spellStart"/>
      <w:r w:rsidRPr="001D01E1">
        <w:rPr>
          <w:sz w:val="22"/>
          <w:szCs w:val="22"/>
        </w:rPr>
        <w:t>eg</w:t>
      </w:r>
      <w:proofErr w:type="spellEnd"/>
      <w:r w:rsidRPr="001D01E1">
        <w:rPr>
          <w:sz w:val="22"/>
          <w:szCs w:val="22"/>
        </w:rPr>
        <w:t xml:space="preserve"> in studios, workshops and laboratories or in clinical practice settings</w:t>
      </w:r>
    </w:p>
    <w:p w14:paraId="6139E612" w14:textId="77777777" w:rsidR="008D098C" w:rsidRPr="001D01E1" w:rsidRDefault="008D098C" w:rsidP="008D09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1E1">
        <w:rPr>
          <w:sz w:val="22"/>
          <w:szCs w:val="22"/>
        </w:rPr>
        <w:t xml:space="preserve">Mandatory study visits or field trips (for which a maximum of 18 hours per week </w:t>
      </w:r>
      <w:r w:rsidR="00BE279A" w:rsidRPr="001D01E1">
        <w:rPr>
          <w:sz w:val="22"/>
          <w:szCs w:val="22"/>
        </w:rPr>
        <w:t xml:space="preserve">contact hours </w:t>
      </w:r>
      <w:r w:rsidRPr="001D01E1">
        <w:rPr>
          <w:sz w:val="22"/>
          <w:szCs w:val="22"/>
        </w:rPr>
        <w:t>should be allocated</w:t>
      </w:r>
      <w:r w:rsidR="00BE279A" w:rsidRPr="001D01E1">
        <w:rPr>
          <w:sz w:val="22"/>
          <w:szCs w:val="22"/>
        </w:rPr>
        <w:t xml:space="preserve">, with TRA allocated at a minimum ratio of 1:1 to make up the duration in hours of the </w:t>
      </w:r>
      <w:r w:rsidR="00AF4086" w:rsidRPr="001D01E1">
        <w:rPr>
          <w:sz w:val="22"/>
          <w:szCs w:val="22"/>
        </w:rPr>
        <w:t>work associated with the study visit or field trip</w:t>
      </w:r>
      <w:r w:rsidRPr="001D01E1">
        <w:rPr>
          <w:sz w:val="22"/>
          <w:szCs w:val="22"/>
        </w:rPr>
        <w:t>)</w:t>
      </w:r>
    </w:p>
    <w:p w14:paraId="053C3BE0" w14:textId="77777777" w:rsidR="008D098C" w:rsidRPr="001D01E1" w:rsidRDefault="00AF4086" w:rsidP="008D09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1E1">
        <w:rPr>
          <w:sz w:val="22"/>
          <w:szCs w:val="22"/>
        </w:rPr>
        <w:lastRenderedPageBreak/>
        <w:t>E-learning, distance learning or other asynchronous blended learning which forms part of an agreed course or module delivery.  This should be recognised by incorporating a minimum expectation of direct student contact time per module and an appropriate allocation of TRA for other teaching activities.  In conseque</w:t>
      </w:r>
      <w:r w:rsidR="00B10428" w:rsidRPr="001D01E1">
        <w:rPr>
          <w:sz w:val="22"/>
          <w:szCs w:val="22"/>
        </w:rPr>
        <w:t>nce, such module teaching</w:t>
      </w:r>
      <w:r w:rsidRPr="001D01E1">
        <w:rPr>
          <w:sz w:val="22"/>
          <w:szCs w:val="22"/>
        </w:rPr>
        <w:t xml:space="preserve"> should have TRA well in excess of the 1:1.3 average </w:t>
      </w:r>
      <w:r w:rsidR="00B10428" w:rsidRPr="001D01E1">
        <w:rPr>
          <w:sz w:val="22"/>
          <w:szCs w:val="22"/>
        </w:rPr>
        <w:t>ratio</w:t>
      </w:r>
      <w:r w:rsidRPr="001D01E1">
        <w:rPr>
          <w:sz w:val="22"/>
          <w:szCs w:val="22"/>
        </w:rPr>
        <w:t xml:space="preserve"> of contact to TRA.  </w:t>
      </w:r>
      <w:r w:rsidR="00C4546C" w:rsidRPr="001D01E1">
        <w:rPr>
          <w:sz w:val="22"/>
          <w:szCs w:val="22"/>
        </w:rPr>
        <w:t xml:space="preserve">For example, a 20 credit module may involve 50 hours of direct contact (see Curriculum Framework Guidelines) and 65 hours of TRA.  A 20 credit module with significant online/asynchronous blended learning may involve only 20 hours of direct contact but </w:t>
      </w:r>
      <w:r w:rsidR="00B10428" w:rsidRPr="001D01E1">
        <w:rPr>
          <w:sz w:val="22"/>
          <w:szCs w:val="22"/>
        </w:rPr>
        <w:t xml:space="preserve">100 hours of TRA.  This would represent a 1:5 contact to TRA ratio. </w:t>
      </w:r>
    </w:p>
    <w:p w14:paraId="72D1B319" w14:textId="77777777" w:rsidR="00B10428" w:rsidRPr="001D01E1" w:rsidRDefault="00B10428" w:rsidP="008D09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1E1">
        <w:rPr>
          <w:sz w:val="22"/>
          <w:szCs w:val="22"/>
        </w:rPr>
        <w:t>Research Degree supervision.  A full-time research student is entitled to 90 hours of supervisors’ time.  This is typically 45 hours each for a team of two supervisors (see appendix 3 of the WLA).  This can either be represented as a global figure added to research and scholarly activity time or as 15 hours of contact with TRA in the ratio of 1:2 (</w:t>
      </w:r>
      <w:proofErr w:type="spellStart"/>
      <w:r w:rsidRPr="001D01E1">
        <w:rPr>
          <w:sz w:val="22"/>
          <w:szCs w:val="22"/>
        </w:rPr>
        <w:t>ie</w:t>
      </w:r>
      <w:proofErr w:type="spellEnd"/>
      <w:r w:rsidRPr="001D01E1">
        <w:rPr>
          <w:sz w:val="22"/>
          <w:szCs w:val="22"/>
        </w:rPr>
        <w:t xml:space="preserve"> 15 hours of contact and 30 hours of TRA).</w:t>
      </w:r>
    </w:p>
    <w:p w14:paraId="3C7AECE8" w14:textId="77777777" w:rsidR="000D6903" w:rsidRPr="001D01E1" w:rsidRDefault="000D6903" w:rsidP="00B10428">
      <w:pPr>
        <w:rPr>
          <w:sz w:val="22"/>
          <w:szCs w:val="22"/>
        </w:rPr>
      </w:pPr>
    </w:p>
    <w:p w14:paraId="52DF4FEE" w14:textId="7E488F05" w:rsidR="001D01E1" w:rsidRPr="001D01E1" w:rsidRDefault="00D72B7E" w:rsidP="00B10428">
      <w:pPr>
        <w:rPr>
          <w:sz w:val="22"/>
          <w:szCs w:val="22"/>
        </w:rPr>
      </w:pPr>
      <w:r w:rsidRPr="001D01E1">
        <w:rPr>
          <w:sz w:val="22"/>
          <w:szCs w:val="22"/>
        </w:rPr>
        <w:t>I</w:t>
      </w:r>
      <w:r w:rsidR="006040F2">
        <w:rPr>
          <w:sz w:val="22"/>
          <w:szCs w:val="22"/>
        </w:rPr>
        <w:t xml:space="preserve">n our example, the </w:t>
      </w:r>
      <w:r w:rsidRPr="001D01E1">
        <w:rPr>
          <w:sz w:val="22"/>
          <w:szCs w:val="22"/>
        </w:rPr>
        <w:t>workload allocation</w:t>
      </w:r>
      <w:r w:rsidR="00B10428" w:rsidRPr="001D01E1">
        <w:rPr>
          <w:sz w:val="22"/>
          <w:szCs w:val="22"/>
        </w:rPr>
        <w:t xml:space="preserve"> may look like this</w:t>
      </w:r>
      <w:r w:rsidR="00835FE6">
        <w:rPr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page" w:tblpX="1450" w:tblpY="106"/>
        <w:tblW w:w="9169" w:type="dxa"/>
        <w:tblLook w:val="04A0" w:firstRow="1" w:lastRow="0" w:firstColumn="1" w:lastColumn="0" w:noHBand="0" w:noVBand="1"/>
      </w:tblPr>
      <w:tblGrid>
        <w:gridCol w:w="5770"/>
        <w:gridCol w:w="1069"/>
        <w:gridCol w:w="1313"/>
        <w:gridCol w:w="1017"/>
      </w:tblGrid>
      <w:tr w:rsidR="00C969C0" w:rsidRPr="001D01E1" w14:paraId="460F9C81" w14:textId="77777777" w:rsidTr="00C969C0">
        <w:trPr>
          <w:trHeight w:val="305"/>
        </w:trPr>
        <w:tc>
          <w:tcPr>
            <w:tcW w:w="6061" w:type="dxa"/>
          </w:tcPr>
          <w:p w14:paraId="5C0A3A85" w14:textId="77777777" w:rsidR="001D01E1" w:rsidRPr="001D01E1" w:rsidRDefault="001D01E1" w:rsidP="00C969C0">
            <w:pPr>
              <w:ind w:right="1298"/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Teaching</w:t>
            </w:r>
          </w:p>
        </w:tc>
        <w:tc>
          <w:tcPr>
            <w:tcW w:w="1077" w:type="dxa"/>
          </w:tcPr>
          <w:p w14:paraId="0F73F116" w14:textId="77777777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 xml:space="preserve">Contact </w:t>
            </w:r>
          </w:p>
        </w:tc>
        <w:tc>
          <w:tcPr>
            <w:tcW w:w="1313" w:type="dxa"/>
          </w:tcPr>
          <w:p w14:paraId="6DF49AA0" w14:textId="77777777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TRA</w:t>
            </w:r>
          </w:p>
        </w:tc>
        <w:tc>
          <w:tcPr>
            <w:tcW w:w="718" w:type="dxa"/>
          </w:tcPr>
          <w:p w14:paraId="78E3EA1F" w14:textId="77777777" w:rsid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Total</w:t>
            </w:r>
          </w:p>
          <w:p w14:paraId="5BDCF0D2" w14:textId="5A9999FA" w:rsidR="00013268" w:rsidRPr="001D01E1" w:rsidRDefault="00013268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</w:t>
            </w:r>
          </w:p>
        </w:tc>
      </w:tr>
      <w:tr w:rsidR="00C969C0" w:rsidRPr="001D01E1" w14:paraId="7D51A89E" w14:textId="77777777" w:rsidTr="00C969C0">
        <w:tc>
          <w:tcPr>
            <w:tcW w:w="6061" w:type="dxa"/>
          </w:tcPr>
          <w:p w14:paraId="5FF3D023" w14:textId="77777777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Doctoral supervision x2</w:t>
            </w:r>
          </w:p>
        </w:tc>
        <w:tc>
          <w:tcPr>
            <w:tcW w:w="1077" w:type="dxa"/>
          </w:tcPr>
          <w:p w14:paraId="2784AF4D" w14:textId="77777777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15x2=30</w:t>
            </w:r>
          </w:p>
        </w:tc>
        <w:tc>
          <w:tcPr>
            <w:tcW w:w="1313" w:type="dxa"/>
          </w:tcPr>
          <w:p w14:paraId="2845D59F" w14:textId="77777777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30x2=60</w:t>
            </w:r>
          </w:p>
        </w:tc>
        <w:tc>
          <w:tcPr>
            <w:tcW w:w="718" w:type="dxa"/>
          </w:tcPr>
          <w:p w14:paraId="1A20F487" w14:textId="77777777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90</w:t>
            </w:r>
          </w:p>
        </w:tc>
      </w:tr>
      <w:tr w:rsidR="00C969C0" w:rsidRPr="001D01E1" w14:paraId="1603AFBD" w14:textId="77777777" w:rsidTr="00C969C0">
        <w:tc>
          <w:tcPr>
            <w:tcW w:w="6061" w:type="dxa"/>
          </w:tcPr>
          <w:p w14:paraId="40BEC3D6" w14:textId="099B3B0E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MA dissertation supervision x</w:t>
            </w:r>
            <w:r w:rsidR="006040F2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14:paraId="716BCE1E" w14:textId="5BA75923" w:rsidR="001D01E1" w:rsidRPr="001D01E1" w:rsidRDefault="006040F2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5x4</w:t>
            </w:r>
            <w:r w:rsidR="001D01E1" w:rsidRPr="001D01E1">
              <w:rPr>
                <w:sz w:val="22"/>
                <w:szCs w:val="22"/>
              </w:rPr>
              <w:t>=20</w:t>
            </w:r>
          </w:p>
        </w:tc>
        <w:tc>
          <w:tcPr>
            <w:tcW w:w="1313" w:type="dxa"/>
          </w:tcPr>
          <w:p w14:paraId="4FCF4BE2" w14:textId="4DEA0196" w:rsidR="001D01E1" w:rsidRPr="001D01E1" w:rsidRDefault="006040F2" w:rsidP="000F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 x4</w:t>
            </w:r>
            <w:r w:rsidR="001D01E1" w:rsidRPr="001D01E1">
              <w:rPr>
                <w:sz w:val="22"/>
                <w:szCs w:val="22"/>
              </w:rPr>
              <w:t xml:space="preserve"> =</w:t>
            </w:r>
            <w:r w:rsidR="00BF19C0"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</w:tcPr>
          <w:p w14:paraId="5E9F0806" w14:textId="0128EC4A" w:rsidR="001D01E1" w:rsidRPr="001D01E1" w:rsidRDefault="00BF19C0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C969C0" w:rsidRPr="001D01E1" w14:paraId="07AD1900" w14:textId="77777777" w:rsidTr="00C969C0">
        <w:tc>
          <w:tcPr>
            <w:tcW w:w="6061" w:type="dxa"/>
          </w:tcPr>
          <w:p w14:paraId="2679AC2B" w14:textId="77777777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Module 1</w:t>
            </w:r>
          </w:p>
        </w:tc>
        <w:tc>
          <w:tcPr>
            <w:tcW w:w="1077" w:type="dxa"/>
          </w:tcPr>
          <w:p w14:paraId="24CEC48A" w14:textId="385F73F8" w:rsidR="001D01E1" w:rsidRPr="001D01E1" w:rsidRDefault="006254D2" w:rsidP="00625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12x2</w:t>
            </w:r>
            <w:r w:rsidR="001D01E1" w:rsidRPr="001D01E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313" w:type="dxa"/>
          </w:tcPr>
          <w:p w14:paraId="2B56B096" w14:textId="65F95E3B" w:rsidR="001D01E1" w:rsidRPr="001D01E1" w:rsidRDefault="006254D2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12x2.6=31.2</w:t>
            </w:r>
          </w:p>
        </w:tc>
        <w:tc>
          <w:tcPr>
            <w:tcW w:w="718" w:type="dxa"/>
          </w:tcPr>
          <w:p w14:paraId="37C124CA" w14:textId="7BC7D80D" w:rsidR="001D01E1" w:rsidRPr="001D01E1" w:rsidRDefault="006254D2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</w:t>
            </w:r>
          </w:p>
        </w:tc>
      </w:tr>
      <w:tr w:rsidR="00C969C0" w:rsidRPr="001D01E1" w14:paraId="7E3D0844" w14:textId="77777777" w:rsidTr="00C969C0">
        <w:tc>
          <w:tcPr>
            <w:tcW w:w="6061" w:type="dxa"/>
          </w:tcPr>
          <w:p w14:paraId="6799A2C0" w14:textId="77777777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Module 2</w:t>
            </w:r>
          </w:p>
        </w:tc>
        <w:tc>
          <w:tcPr>
            <w:tcW w:w="1077" w:type="dxa"/>
          </w:tcPr>
          <w:p w14:paraId="0C058D13" w14:textId="65FF109C" w:rsidR="001D01E1" w:rsidRPr="001D01E1" w:rsidRDefault="00067EB0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12x4</w:t>
            </w:r>
            <w:r w:rsidR="006040F2">
              <w:rPr>
                <w:sz w:val="22"/>
                <w:szCs w:val="22"/>
              </w:rPr>
              <w:t>=48</w:t>
            </w:r>
          </w:p>
        </w:tc>
        <w:tc>
          <w:tcPr>
            <w:tcW w:w="1313" w:type="dxa"/>
          </w:tcPr>
          <w:p w14:paraId="4C01C5E7" w14:textId="76B9652E" w:rsidR="001D01E1" w:rsidRPr="001D01E1" w:rsidRDefault="001D01E1" w:rsidP="00067EB0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12x</w:t>
            </w:r>
            <w:r w:rsidR="00067EB0">
              <w:rPr>
                <w:sz w:val="22"/>
                <w:szCs w:val="22"/>
              </w:rPr>
              <w:t>5.2</w:t>
            </w:r>
            <w:r w:rsidRPr="001D01E1">
              <w:rPr>
                <w:sz w:val="22"/>
                <w:szCs w:val="22"/>
              </w:rPr>
              <w:t>=</w:t>
            </w:r>
            <w:r w:rsidR="00067EB0">
              <w:rPr>
                <w:sz w:val="22"/>
                <w:szCs w:val="22"/>
              </w:rPr>
              <w:t>62.4</w:t>
            </w:r>
          </w:p>
        </w:tc>
        <w:tc>
          <w:tcPr>
            <w:tcW w:w="718" w:type="dxa"/>
          </w:tcPr>
          <w:p w14:paraId="7B120B00" w14:textId="56940D11" w:rsidR="001D01E1" w:rsidRPr="001D01E1" w:rsidRDefault="00067EB0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110.4</w:t>
            </w:r>
          </w:p>
        </w:tc>
      </w:tr>
      <w:tr w:rsidR="00C969C0" w:rsidRPr="001D01E1" w14:paraId="6C385806" w14:textId="77777777" w:rsidTr="00C969C0">
        <w:tc>
          <w:tcPr>
            <w:tcW w:w="6061" w:type="dxa"/>
          </w:tcPr>
          <w:p w14:paraId="06730FEB" w14:textId="50C0A9B8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 xml:space="preserve">Module </w:t>
            </w:r>
            <w:r w:rsidR="00BE42CB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14:paraId="07365D8D" w14:textId="77777777" w:rsidR="001D01E1" w:rsidRPr="001D01E1" w:rsidRDefault="00B65986" w:rsidP="00B65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12x2</w:t>
            </w:r>
            <w:r w:rsidR="001D01E1" w:rsidRPr="001D01E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313" w:type="dxa"/>
          </w:tcPr>
          <w:p w14:paraId="4BAFA005" w14:textId="77777777" w:rsidR="001D01E1" w:rsidRPr="001D01E1" w:rsidRDefault="00B65986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12x2.6=31.2</w:t>
            </w:r>
          </w:p>
        </w:tc>
        <w:tc>
          <w:tcPr>
            <w:tcW w:w="718" w:type="dxa"/>
          </w:tcPr>
          <w:p w14:paraId="2B9AC9B1" w14:textId="77777777" w:rsidR="001D01E1" w:rsidRPr="001D01E1" w:rsidRDefault="00B65986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</w:t>
            </w:r>
          </w:p>
        </w:tc>
      </w:tr>
      <w:tr w:rsidR="00C969C0" w:rsidRPr="001D01E1" w14:paraId="5D6BE045" w14:textId="77777777" w:rsidTr="00C969C0">
        <w:tc>
          <w:tcPr>
            <w:tcW w:w="6061" w:type="dxa"/>
          </w:tcPr>
          <w:p w14:paraId="2EA7A51A" w14:textId="77777777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 xml:space="preserve">Tutorials </w:t>
            </w:r>
          </w:p>
        </w:tc>
        <w:tc>
          <w:tcPr>
            <w:tcW w:w="1077" w:type="dxa"/>
          </w:tcPr>
          <w:p w14:paraId="7075A2B8" w14:textId="23710842" w:rsidR="001D01E1" w:rsidRPr="001D01E1" w:rsidRDefault="00BE42CB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5C53"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14:paraId="6BF06999" w14:textId="5CC132D6" w:rsidR="001D01E1" w:rsidRPr="001D01E1" w:rsidRDefault="00BE42CB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5C53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</w:tcPr>
          <w:p w14:paraId="010FFD0F" w14:textId="6C913D07" w:rsidR="001D01E1" w:rsidRPr="001D01E1" w:rsidRDefault="00CE5C53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C969C0" w:rsidRPr="001D01E1" w14:paraId="1795B304" w14:textId="77777777" w:rsidTr="00C969C0">
        <w:tc>
          <w:tcPr>
            <w:tcW w:w="6061" w:type="dxa"/>
          </w:tcPr>
          <w:p w14:paraId="0E879D46" w14:textId="664A0FBB" w:rsidR="001D01E1" w:rsidRPr="001D01E1" w:rsidRDefault="001D01E1" w:rsidP="00DA6A3C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Teaching observations (</w:t>
            </w:r>
            <w:r w:rsidR="00DA6A3C">
              <w:rPr>
                <w:sz w:val="22"/>
                <w:szCs w:val="22"/>
              </w:rPr>
              <w:t xml:space="preserve">not including </w:t>
            </w:r>
            <w:r w:rsidRPr="001D01E1">
              <w:rPr>
                <w:sz w:val="22"/>
                <w:szCs w:val="22"/>
              </w:rPr>
              <w:t>travel time already taken into account)</w:t>
            </w:r>
          </w:p>
        </w:tc>
        <w:tc>
          <w:tcPr>
            <w:tcW w:w="1077" w:type="dxa"/>
          </w:tcPr>
          <w:p w14:paraId="03A93C15" w14:textId="77777777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>12</w:t>
            </w:r>
          </w:p>
        </w:tc>
        <w:tc>
          <w:tcPr>
            <w:tcW w:w="1313" w:type="dxa"/>
          </w:tcPr>
          <w:p w14:paraId="0E72A735" w14:textId="3B220766" w:rsidR="001D01E1" w:rsidRPr="001D01E1" w:rsidRDefault="00DA6A3C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</w:tcPr>
          <w:p w14:paraId="5F854ADC" w14:textId="68B78BF4" w:rsidR="001D01E1" w:rsidRPr="001D01E1" w:rsidRDefault="00DA6A3C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969C0" w:rsidRPr="001D01E1" w14:paraId="0087B74A" w14:textId="77777777" w:rsidTr="00C969C0">
        <w:tc>
          <w:tcPr>
            <w:tcW w:w="6061" w:type="dxa"/>
          </w:tcPr>
          <w:p w14:paraId="650152CE" w14:textId="77777777" w:rsidR="001D01E1" w:rsidRPr="001D01E1" w:rsidRDefault="001D01E1" w:rsidP="001D01E1">
            <w:pPr>
              <w:rPr>
                <w:sz w:val="22"/>
                <w:szCs w:val="22"/>
              </w:rPr>
            </w:pPr>
            <w:r w:rsidRPr="001D01E1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077" w:type="dxa"/>
          </w:tcPr>
          <w:p w14:paraId="7ED28512" w14:textId="5818AEA5" w:rsidR="001D01E1" w:rsidRPr="001D01E1" w:rsidRDefault="00DD6844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313" w:type="dxa"/>
          </w:tcPr>
          <w:p w14:paraId="6D47F461" w14:textId="5EDE2D8D" w:rsidR="001D01E1" w:rsidRPr="001D01E1" w:rsidRDefault="00BE42CB" w:rsidP="001D0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235.8</w:t>
            </w:r>
          </w:p>
        </w:tc>
        <w:tc>
          <w:tcPr>
            <w:tcW w:w="718" w:type="dxa"/>
          </w:tcPr>
          <w:p w14:paraId="7C771C5B" w14:textId="56513611" w:rsidR="001D01E1" w:rsidRPr="001D01E1" w:rsidRDefault="00BF19C0" w:rsidP="00B54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5434F">
              <w:rPr>
                <w:sz w:val="22"/>
                <w:szCs w:val="22"/>
              </w:rPr>
              <w:t>26.8</w:t>
            </w:r>
          </w:p>
        </w:tc>
      </w:tr>
    </w:tbl>
    <w:p w14:paraId="718F3878" w14:textId="77777777" w:rsidR="001D01E1" w:rsidRPr="001D01E1" w:rsidRDefault="001D01E1" w:rsidP="00B10428">
      <w:pPr>
        <w:rPr>
          <w:sz w:val="22"/>
          <w:szCs w:val="22"/>
        </w:rPr>
      </w:pPr>
    </w:p>
    <w:p w14:paraId="1E764257" w14:textId="22D27978" w:rsidR="006D63D3" w:rsidRPr="001D01E1" w:rsidRDefault="00C969C0" w:rsidP="00B10428">
      <w:pPr>
        <w:rPr>
          <w:sz w:val="22"/>
          <w:szCs w:val="22"/>
        </w:rPr>
      </w:pPr>
      <w:r>
        <w:rPr>
          <w:sz w:val="22"/>
          <w:szCs w:val="22"/>
        </w:rPr>
        <w:t>The t</w:t>
      </w:r>
      <w:r w:rsidR="006D63D3" w:rsidRPr="001D01E1">
        <w:rPr>
          <w:sz w:val="22"/>
          <w:szCs w:val="22"/>
        </w:rPr>
        <w:t xml:space="preserve">eaching load as a proportion of the </w:t>
      </w:r>
      <w:r w:rsidR="001D01E1" w:rsidRPr="001D01E1">
        <w:rPr>
          <w:sz w:val="22"/>
          <w:szCs w:val="22"/>
        </w:rPr>
        <w:t>absolut</w:t>
      </w:r>
      <w:r w:rsidR="00B5434F">
        <w:rPr>
          <w:sz w:val="22"/>
          <w:szCs w:val="22"/>
        </w:rPr>
        <w:t xml:space="preserve">e maximum I can be allocated= </w:t>
      </w:r>
      <w:r w:rsidR="008771A4">
        <w:rPr>
          <w:sz w:val="22"/>
          <w:szCs w:val="22"/>
        </w:rPr>
        <w:t>87.1</w:t>
      </w:r>
      <w:r w:rsidR="001D01E1" w:rsidRPr="001D01E1">
        <w:rPr>
          <w:sz w:val="22"/>
          <w:szCs w:val="22"/>
        </w:rPr>
        <w:t>%</w:t>
      </w:r>
      <w:r w:rsidR="008771A4">
        <w:rPr>
          <w:sz w:val="22"/>
          <w:szCs w:val="22"/>
        </w:rPr>
        <w:t xml:space="preserve"> (426.8/49</w:t>
      </w:r>
      <w:r>
        <w:rPr>
          <w:sz w:val="22"/>
          <w:szCs w:val="22"/>
        </w:rPr>
        <w:t>0x100)</w:t>
      </w:r>
    </w:p>
    <w:p w14:paraId="39DBD474" w14:textId="77777777" w:rsidR="00B10428" w:rsidRDefault="00B10428" w:rsidP="00B10428">
      <w:pPr>
        <w:rPr>
          <w:sz w:val="22"/>
          <w:szCs w:val="22"/>
        </w:rPr>
      </w:pPr>
    </w:p>
    <w:p w14:paraId="41723F9B" w14:textId="77777777" w:rsidR="00AC079B" w:rsidRDefault="00B0751C" w:rsidP="00B10428">
      <w:pPr>
        <w:rPr>
          <w:sz w:val="22"/>
          <w:szCs w:val="22"/>
        </w:rPr>
      </w:pPr>
      <w:r>
        <w:rPr>
          <w:sz w:val="22"/>
          <w:szCs w:val="22"/>
        </w:rPr>
        <w:t>You will</w:t>
      </w:r>
      <w:r w:rsidR="000F23B2">
        <w:rPr>
          <w:sz w:val="22"/>
          <w:szCs w:val="22"/>
        </w:rPr>
        <w:t xml:space="preserve"> need to check that </w:t>
      </w:r>
      <w:r>
        <w:rPr>
          <w:sz w:val="22"/>
          <w:szCs w:val="22"/>
        </w:rPr>
        <w:t>that your workload</w:t>
      </w:r>
      <w:r w:rsidR="000F23B2">
        <w:rPr>
          <w:sz w:val="22"/>
          <w:szCs w:val="22"/>
        </w:rPr>
        <w:t xml:space="preserve"> is accurately represented on your </w:t>
      </w:r>
      <w:r w:rsidR="00AC079B">
        <w:rPr>
          <w:sz w:val="22"/>
          <w:szCs w:val="22"/>
        </w:rPr>
        <w:t>workload allocation.  The software organises workload allocation under four headings:</w:t>
      </w:r>
    </w:p>
    <w:p w14:paraId="56FEF280" w14:textId="77777777" w:rsidR="000F23B2" w:rsidRDefault="00AC079B" w:rsidP="00AC07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Modular Teaching</w:t>
      </w:r>
      <w:r w:rsidR="000F23B2" w:rsidRPr="00AC079B">
        <w:rPr>
          <w:sz w:val="22"/>
          <w:szCs w:val="22"/>
        </w:rPr>
        <w:t xml:space="preserve">. </w:t>
      </w:r>
      <w:r>
        <w:rPr>
          <w:sz w:val="22"/>
          <w:szCs w:val="22"/>
        </w:rPr>
        <w:t>This should show all you</w:t>
      </w:r>
      <w:r w:rsidR="00B65986">
        <w:rPr>
          <w:sz w:val="22"/>
          <w:szCs w:val="22"/>
        </w:rPr>
        <w:t>r</w:t>
      </w:r>
      <w:r>
        <w:rPr>
          <w:sz w:val="22"/>
          <w:szCs w:val="22"/>
        </w:rPr>
        <w:t xml:space="preserve"> actual contact hours and TRA</w:t>
      </w:r>
      <w:r w:rsidR="00433966">
        <w:rPr>
          <w:sz w:val="22"/>
          <w:szCs w:val="22"/>
        </w:rPr>
        <w:t>.</w:t>
      </w:r>
    </w:p>
    <w:p w14:paraId="0DAA0680" w14:textId="77777777" w:rsidR="00AC079B" w:rsidRDefault="00AC079B" w:rsidP="00AC07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Non Modular Activities. This should show any time which is not contact or research and scholarly activity or admin Leadership and Management. It would include con</w:t>
      </w:r>
      <w:r w:rsidR="00B65986">
        <w:rPr>
          <w:sz w:val="22"/>
          <w:szCs w:val="22"/>
        </w:rPr>
        <w:t>tingency hours, travel time, open days and any remission for TU activities.</w:t>
      </w:r>
    </w:p>
    <w:p w14:paraId="4EC8027D" w14:textId="77777777" w:rsidR="00B65986" w:rsidRDefault="00B65986" w:rsidP="00AC07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Research and Scholarly Activity.  This should show your contractual 320 hours (or pro-rate) of research and scholarly activity time and any additional research activity time you are awarded.  </w:t>
      </w:r>
      <w:r w:rsidR="00433966">
        <w:rPr>
          <w:sz w:val="22"/>
          <w:szCs w:val="22"/>
        </w:rPr>
        <w:t>(</w:t>
      </w:r>
      <w:r>
        <w:rPr>
          <w:sz w:val="22"/>
          <w:szCs w:val="22"/>
        </w:rPr>
        <w:t xml:space="preserve">Doctoral student supervision may also be shown under this heading if it is not shown under </w:t>
      </w:r>
      <w:r w:rsidR="00433966">
        <w:rPr>
          <w:sz w:val="22"/>
          <w:szCs w:val="22"/>
        </w:rPr>
        <w:t>A)</w:t>
      </w:r>
      <w:r>
        <w:rPr>
          <w:sz w:val="22"/>
          <w:szCs w:val="22"/>
        </w:rPr>
        <w:t xml:space="preserve">. </w:t>
      </w:r>
    </w:p>
    <w:p w14:paraId="6A1452C5" w14:textId="4159CD47" w:rsidR="00B65986" w:rsidRPr="00AC079B" w:rsidRDefault="00B65986" w:rsidP="00AC07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Admin Leadership and Management. This should show hours a</w:t>
      </w:r>
      <w:r w:rsidR="00067EB0">
        <w:rPr>
          <w:sz w:val="22"/>
          <w:szCs w:val="22"/>
        </w:rPr>
        <w:t>llocated for course leadership and module leadership, a</w:t>
      </w:r>
      <w:r>
        <w:rPr>
          <w:sz w:val="22"/>
          <w:szCs w:val="22"/>
        </w:rPr>
        <w:t>dmissions and any other administrative and management roles</w:t>
      </w:r>
      <w:r w:rsidR="00B0751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CB1F528" w14:textId="77777777" w:rsidR="00C969C0" w:rsidRDefault="00C969C0" w:rsidP="00B10428">
      <w:pPr>
        <w:rPr>
          <w:sz w:val="22"/>
          <w:szCs w:val="22"/>
        </w:rPr>
      </w:pPr>
    </w:p>
    <w:p w14:paraId="28B835D8" w14:textId="3B176CB3" w:rsidR="00433966" w:rsidRDefault="00C969C0" w:rsidP="00B10428">
      <w:pPr>
        <w:rPr>
          <w:sz w:val="22"/>
          <w:szCs w:val="22"/>
        </w:rPr>
      </w:pPr>
      <w:r>
        <w:rPr>
          <w:sz w:val="22"/>
          <w:szCs w:val="22"/>
        </w:rPr>
        <w:t xml:space="preserve">If you have any questions, please contact members of you branch committee. </w:t>
      </w:r>
    </w:p>
    <w:p w14:paraId="3DF676FC" w14:textId="77777777" w:rsidR="00433966" w:rsidRDefault="00433966" w:rsidP="00B10428">
      <w:pPr>
        <w:rPr>
          <w:sz w:val="22"/>
          <w:szCs w:val="22"/>
        </w:rPr>
      </w:pPr>
    </w:p>
    <w:p w14:paraId="333F8162" w14:textId="77777777" w:rsidR="00F13EA8" w:rsidRDefault="00433966" w:rsidP="00B10428">
      <w:pPr>
        <w:rPr>
          <w:sz w:val="22"/>
          <w:szCs w:val="22"/>
        </w:rPr>
      </w:pPr>
      <w:r>
        <w:rPr>
          <w:sz w:val="22"/>
          <w:szCs w:val="22"/>
        </w:rPr>
        <w:t>UCU co-com 2/6/17</w:t>
      </w:r>
    </w:p>
    <w:p w14:paraId="26534C4B" w14:textId="77777777" w:rsidR="00F13EA8" w:rsidRPr="001D01E1" w:rsidRDefault="00F13EA8" w:rsidP="00B10428">
      <w:pPr>
        <w:rPr>
          <w:sz w:val="22"/>
          <w:szCs w:val="22"/>
        </w:rPr>
      </w:pPr>
    </w:p>
    <w:sectPr w:rsidR="00F13EA8" w:rsidRPr="001D01E1" w:rsidSect="00C969C0">
      <w:pgSz w:w="11900" w:h="16840"/>
      <w:pgMar w:top="990" w:right="1190" w:bottom="9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DA1"/>
    <w:multiLevelType w:val="hybridMultilevel"/>
    <w:tmpl w:val="7B3C240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867FD"/>
    <w:multiLevelType w:val="hybridMultilevel"/>
    <w:tmpl w:val="3414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A72A5"/>
    <w:multiLevelType w:val="hybridMultilevel"/>
    <w:tmpl w:val="C6BE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B2198"/>
    <w:multiLevelType w:val="hybridMultilevel"/>
    <w:tmpl w:val="17989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2F"/>
    <w:rsid w:val="00013268"/>
    <w:rsid w:val="00017968"/>
    <w:rsid w:val="00067EB0"/>
    <w:rsid w:val="000A1E98"/>
    <w:rsid w:val="000B25B9"/>
    <w:rsid w:val="000B580D"/>
    <w:rsid w:val="000D1996"/>
    <w:rsid w:val="000D6903"/>
    <w:rsid w:val="000F23B2"/>
    <w:rsid w:val="000F7E9B"/>
    <w:rsid w:val="00110AD3"/>
    <w:rsid w:val="0019453D"/>
    <w:rsid w:val="001B5C00"/>
    <w:rsid w:val="001B6E0E"/>
    <w:rsid w:val="001C5292"/>
    <w:rsid w:val="001D01E1"/>
    <w:rsid w:val="00212E8B"/>
    <w:rsid w:val="002774B2"/>
    <w:rsid w:val="00287E31"/>
    <w:rsid w:val="002A7022"/>
    <w:rsid w:val="002B6530"/>
    <w:rsid w:val="002B744B"/>
    <w:rsid w:val="002C1934"/>
    <w:rsid w:val="002D4D42"/>
    <w:rsid w:val="002F46F1"/>
    <w:rsid w:val="0033363C"/>
    <w:rsid w:val="003A2E19"/>
    <w:rsid w:val="003B3268"/>
    <w:rsid w:val="003C7485"/>
    <w:rsid w:val="00407A90"/>
    <w:rsid w:val="00433966"/>
    <w:rsid w:val="00462B4A"/>
    <w:rsid w:val="0047329E"/>
    <w:rsid w:val="00475B82"/>
    <w:rsid w:val="004836A5"/>
    <w:rsid w:val="004E5EC8"/>
    <w:rsid w:val="004F5503"/>
    <w:rsid w:val="0051340E"/>
    <w:rsid w:val="00584E47"/>
    <w:rsid w:val="005B5CB1"/>
    <w:rsid w:val="005B7AB5"/>
    <w:rsid w:val="005D0941"/>
    <w:rsid w:val="006040F2"/>
    <w:rsid w:val="006254D2"/>
    <w:rsid w:val="00636511"/>
    <w:rsid w:val="006418DC"/>
    <w:rsid w:val="00650930"/>
    <w:rsid w:val="0065455F"/>
    <w:rsid w:val="00657BD1"/>
    <w:rsid w:val="00665CBA"/>
    <w:rsid w:val="006C33F7"/>
    <w:rsid w:val="006D056F"/>
    <w:rsid w:val="006D63D3"/>
    <w:rsid w:val="006E1CE0"/>
    <w:rsid w:val="00727129"/>
    <w:rsid w:val="00727BA1"/>
    <w:rsid w:val="0073082F"/>
    <w:rsid w:val="007D6D68"/>
    <w:rsid w:val="00835FE6"/>
    <w:rsid w:val="00843F63"/>
    <w:rsid w:val="0086717F"/>
    <w:rsid w:val="008771A4"/>
    <w:rsid w:val="008B4C5B"/>
    <w:rsid w:val="008D098C"/>
    <w:rsid w:val="00903E09"/>
    <w:rsid w:val="009D0D6D"/>
    <w:rsid w:val="00AC079B"/>
    <w:rsid w:val="00AF4086"/>
    <w:rsid w:val="00B0177F"/>
    <w:rsid w:val="00B0751C"/>
    <w:rsid w:val="00B10428"/>
    <w:rsid w:val="00B108F1"/>
    <w:rsid w:val="00B31B5E"/>
    <w:rsid w:val="00B3599D"/>
    <w:rsid w:val="00B37524"/>
    <w:rsid w:val="00B5434F"/>
    <w:rsid w:val="00B65986"/>
    <w:rsid w:val="00BA7846"/>
    <w:rsid w:val="00BD13A2"/>
    <w:rsid w:val="00BE279A"/>
    <w:rsid w:val="00BE42CB"/>
    <w:rsid w:val="00BF19C0"/>
    <w:rsid w:val="00BF2E35"/>
    <w:rsid w:val="00C0349A"/>
    <w:rsid w:val="00C4546C"/>
    <w:rsid w:val="00C969C0"/>
    <w:rsid w:val="00CA0DF0"/>
    <w:rsid w:val="00CA68F6"/>
    <w:rsid w:val="00CC73C0"/>
    <w:rsid w:val="00CD392F"/>
    <w:rsid w:val="00CE5C53"/>
    <w:rsid w:val="00D40F8E"/>
    <w:rsid w:val="00D42DC2"/>
    <w:rsid w:val="00D72B7E"/>
    <w:rsid w:val="00D8515D"/>
    <w:rsid w:val="00DA01C8"/>
    <w:rsid w:val="00DA2CFF"/>
    <w:rsid w:val="00DA6A3C"/>
    <w:rsid w:val="00DC59BB"/>
    <w:rsid w:val="00DD6844"/>
    <w:rsid w:val="00DE4B4C"/>
    <w:rsid w:val="00DF39E2"/>
    <w:rsid w:val="00EF70A7"/>
    <w:rsid w:val="00F02373"/>
    <w:rsid w:val="00F13EA8"/>
    <w:rsid w:val="00F30F57"/>
    <w:rsid w:val="00FB08CB"/>
    <w:rsid w:val="00FB53A0"/>
    <w:rsid w:val="00FB5414"/>
    <w:rsid w:val="00FF4F97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9825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98C"/>
    <w:pPr>
      <w:ind w:left="720"/>
      <w:contextualSpacing/>
    </w:pPr>
  </w:style>
  <w:style w:type="table" w:styleId="TableGrid">
    <w:name w:val="Table Grid"/>
    <w:basedOn w:val="TableNormal"/>
    <w:uiPriority w:val="39"/>
    <w:rsid w:val="00B10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E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98C"/>
    <w:pPr>
      <w:ind w:left="720"/>
      <w:contextualSpacing/>
    </w:pPr>
  </w:style>
  <w:style w:type="table" w:styleId="TableGrid">
    <w:name w:val="Table Grid"/>
    <w:basedOn w:val="TableNormal"/>
    <w:uiPriority w:val="39"/>
    <w:rsid w:val="00B10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E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ucu.brighton.ac.uk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1291</Words>
  <Characters>7364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Abel</cp:lastModifiedBy>
  <cp:revision>2</cp:revision>
  <cp:lastPrinted>2017-06-05T15:38:00Z</cp:lastPrinted>
  <dcterms:created xsi:type="dcterms:W3CDTF">2017-06-05T15:39:00Z</dcterms:created>
  <dcterms:modified xsi:type="dcterms:W3CDTF">2017-06-05T15:39:00Z</dcterms:modified>
</cp:coreProperties>
</file>