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BF" w:rsidRDefault="009F1FBF" w:rsidP="009F1FBF">
      <w:pPr>
        <w:spacing w:after="40"/>
        <w:rPr>
          <w:color w:val="000000"/>
        </w:rPr>
      </w:pPr>
      <w:r>
        <w:rPr>
          <w:rFonts w:ascii="Arial" w:hAnsi="Arial" w:cs="Arial"/>
          <w:b/>
          <w:bCs/>
          <w:color w:val="000000"/>
          <w:sz w:val="28"/>
          <w:szCs w:val="28"/>
        </w:rPr>
        <w:t xml:space="preserve">All welcome. To register your attendance please access:  </w:t>
      </w:r>
      <w:hyperlink r:id="rId7" w:tgtFrame="_blank" w:history="1">
        <w:r>
          <w:rPr>
            <w:rStyle w:val="Hyperlink"/>
            <w:rFonts w:ascii="Arial" w:hAnsi="Arial" w:cs="Arial"/>
            <w:b/>
            <w:bCs/>
            <w:sz w:val="28"/>
            <w:szCs w:val="28"/>
          </w:rPr>
          <w:t>Click Here</w:t>
        </w:r>
      </w:hyperlink>
    </w:p>
    <w:p w:rsidR="009F1FBF" w:rsidRDefault="009F1FBF" w:rsidP="009F1FBF">
      <w:pPr>
        <w:spacing w:after="40"/>
        <w:rPr>
          <w:color w:val="000000"/>
        </w:rPr>
      </w:pPr>
      <w:r>
        <w:rPr>
          <w:color w:val="000000"/>
        </w:rPr>
        <w:t> </w:t>
      </w:r>
    </w:p>
    <w:p w:rsidR="009F1FBF" w:rsidRDefault="009F1FBF" w:rsidP="009F1FBF">
      <w:pPr>
        <w:spacing w:after="40"/>
        <w:rPr>
          <w:color w:val="000000"/>
        </w:rPr>
      </w:pPr>
      <w:r>
        <w:rPr>
          <w:rFonts w:ascii="Arial" w:hAnsi="Arial" w:cs="Arial"/>
          <w:b/>
          <w:bCs/>
          <w:color w:val="000000"/>
          <w:sz w:val="28"/>
          <w:szCs w:val="28"/>
        </w:rPr>
        <w:t xml:space="preserve">For further information please contact Liz Briggs: </w:t>
      </w:r>
      <w:hyperlink r:id="rId8" w:tgtFrame="_blank" w:history="1">
        <w:r>
          <w:rPr>
            <w:rStyle w:val="Hyperlink"/>
            <w:rFonts w:ascii="Arial" w:hAnsi="Arial" w:cs="Arial"/>
            <w:b/>
            <w:bCs/>
            <w:sz w:val="28"/>
            <w:szCs w:val="28"/>
          </w:rPr>
          <w:t>e.f.briggs@brighton.ac.uk</w:t>
        </w:r>
      </w:hyperlink>
      <w:r>
        <w:rPr>
          <w:rFonts w:ascii="Arial" w:hAnsi="Arial" w:cs="Arial"/>
          <w:b/>
          <w:bCs/>
          <w:color w:val="000000"/>
          <w:sz w:val="28"/>
          <w:szCs w:val="28"/>
        </w:rPr>
        <w:t xml:space="preserve"> </w:t>
      </w:r>
    </w:p>
    <w:p w:rsidR="009F1FBF" w:rsidRDefault="009F1FBF" w:rsidP="009F1FBF">
      <w:pPr>
        <w:rPr>
          <w:color w:val="000000"/>
        </w:rPr>
      </w:pPr>
      <w:r>
        <w:rPr>
          <w:color w:val="000000"/>
        </w:rPr>
        <w:t> </w:t>
      </w:r>
    </w:p>
    <w:p w:rsidR="009F1FBF" w:rsidRDefault="009F1FBF" w:rsidP="009F1FBF">
      <w:pPr>
        <w:rPr>
          <w:color w:val="000000"/>
        </w:rPr>
      </w:pPr>
      <w:r>
        <w:rPr>
          <w:color w:val="000000"/>
        </w:rPr>
        <w:t> </w:t>
      </w:r>
    </w:p>
    <w:p w:rsidR="009F1FBF" w:rsidRDefault="009F1FBF" w:rsidP="009F1FBF">
      <w:pPr>
        <w:rPr>
          <w:color w:val="000000"/>
        </w:rPr>
      </w:pPr>
      <w:r>
        <w:rPr>
          <w:rFonts w:ascii="Arial" w:hAnsi="Arial" w:cs="Arial"/>
          <w:noProof/>
          <w:color w:val="000000"/>
        </w:rPr>
        <w:drawing>
          <wp:inline distT="0" distB="0" distL="0" distR="0">
            <wp:extent cx="1943100" cy="457200"/>
            <wp:effectExtent l="1905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r:link="rId10" cstate="print"/>
                    <a:srcRect/>
                    <a:stretch>
                      <a:fillRect/>
                    </a:stretch>
                  </pic:blipFill>
                  <pic:spPr bwMode="auto">
                    <a:xfrm>
                      <a:off x="0" y="0"/>
                      <a:ext cx="1943100" cy="457200"/>
                    </a:xfrm>
                    <a:prstGeom prst="rect">
                      <a:avLst/>
                    </a:prstGeom>
                    <a:noFill/>
                    <a:ln w="9525">
                      <a:noFill/>
                      <a:miter lim="800000"/>
                      <a:headEnd/>
                      <a:tailEnd/>
                    </a:ln>
                  </pic:spPr>
                </pic:pic>
              </a:graphicData>
            </a:graphic>
          </wp:inline>
        </w:drawing>
      </w:r>
    </w:p>
    <w:p w:rsidR="009F1FBF" w:rsidRDefault="009F1FBF" w:rsidP="009F1FBF">
      <w:pPr>
        <w:spacing w:after="40"/>
        <w:jc w:val="center"/>
        <w:rPr>
          <w:color w:val="000000"/>
        </w:rPr>
      </w:pPr>
      <w:r>
        <w:rPr>
          <w:rFonts w:ascii="Arial" w:hAnsi="Arial" w:cs="Arial"/>
          <w:b/>
          <w:bCs/>
          <w:color w:val="000000"/>
        </w:rPr>
        <w:t>The Education Research Centre and School of Education present a joint seminar with the School of Nursing and Midwifery / Health Research Centre:</w:t>
      </w:r>
    </w:p>
    <w:p w:rsidR="009F1FBF" w:rsidRDefault="009F1FBF" w:rsidP="009F1FBF">
      <w:pPr>
        <w:spacing w:after="40"/>
        <w:jc w:val="center"/>
        <w:rPr>
          <w:color w:val="000000"/>
        </w:rPr>
      </w:pPr>
      <w:r>
        <w:rPr>
          <w:rFonts w:ascii="Arial" w:hAnsi="Arial" w:cs="Arial"/>
          <w:b/>
          <w:bCs/>
          <w:color w:val="000000"/>
          <w:sz w:val="48"/>
          <w:szCs w:val="48"/>
        </w:rPr>
        <w:t xml:space="preserve">Dr Cecily </w:t>
      </w:r>
      <w:proofErr w:type="spellStart"/>
      <w:r>
        <w:rPr>
          <w:rFonts w:ascii="Arial" w:hAnsi="Arial" w:cs="Arial"/>
          <w:b/>
          <w:bCs/>
          <w:color w:val="000000"/>
          <w:sz w:val="48"/>
          <w:szCs w:val="48"/>
        </w:rPr>
        <w:t>Maller</w:t>
      </w:r>
      <w:proofErr w:type="spellEnd"/>
    </w:p>
    <w:p w:rsidR="009F1FBF" w:rsidRDefault="009F1FBF" w:rsidP="009F1FBF">
      <w:pPr>
        <w:jc w:val="center"/>
        <w:rPr>
          <w:color w:val="000000"/>
        </w:rPr>
      </w:pPr>
      <w:r>
        <w:rPr>
          <w:rFonts w:ascii="Arial" w:hAnsi="Arial" w:cs="Arial"/>
          <w:b/>
          <w:bCs/>
          <w:color w:val="000000"/>
          <w:sz w:val="28"/>
          <w:szCs w:val="28"/>
        </w:rPr>
        <w:t>Senior Research Fellow and Co-Leader</w:t>
      </w:r>
      <w:r>
        <w:rPr>
          <w:rFonts w:ascii="Arial" w:hAnsi="Arial" w:cs="Arial"/>
          <w:b/>
          <w:bCs/>
          <w:i/>
          <w:iCs/>
          <w:color w:val="000000"/>
          <w:sz w:val="28"/>
          <w:szCs w:val="28"/>
        </w:rPr>
        <w:t xml:space="preserve"> </w:t>
      </w:r>
      <w:proofErr w:type="gramStart"/>
      <w:r>
        <w:rPr>
          <w:rFonts w:ascii="Arial" w:hAnsi="Arial" w:cs="Arial"/>
          <w:b/>
          <w:bCs/>
          <w:i/>
          <w:iCs/>
          <w:color w:val="000000"/>
          <w:sz w:val="28"/>
          <w:szCs w:val="28"/>
        </w:rPr>
        <w:t>Beyond</w:t>
      </w:r>
      <w:proofErr w:type="gramEnd"/>
      <w:r>
        <w:rPr>
          <w:rFonts w:ascii="Arial" w:hAnsi="Arial" w:cs="Arial"/>
          <w:b/>
          <w:bCs/>
          <w:i/>
          <w:iCs/>
          <w:color w:val="000000"/>
          <w:sz w:val="28"/>
          <w:szCs w:val="28"/>
        </w:rPr>
        <w:t xml:space="preserve"> Behaviour Change Research Program</w:t>
      </w:r>
      <w:r>
        <w:rPr>
          <w:rFonts w:ascii="Arial" w:hAnsi="Arial" w:cs="Arial"/>
          <w:b/>
          <w:bCs/>
          <w:color w:val="000000"/>
          <w:sz w:val="28"/>
          <w:szCs w:val="28"/>
        </w:rPr>
        <w:t>, Centre for Urban Research, RMIT University, Australia</w:t>
      </w:r>
    </w:p>
    <w:p w:rsidR="009F1FBF" w:rsidRDefault="009F1FBF" w:rsidP="009F1FBF">
      <w:pPr>
        <w:spacing w:after="40"/>
        <w:jc w:val="center"/>
        <w:rPr>
          <w:color w:val="000000"/>
        </w:rPr>
      </w:pPr>
      <w:r>
        <w:rPr>
          <w:rFonts w:ascii="Arial" w:hAnsi="Arial" w:cs="Arial"/>
          <w:b/>
          <w:bCs/>
          <w:color w:val="000000"/>
          <w:sz w:val="40"/>
          <w:szCs w:val="40"/>
          <w:lang w:val="en-US"/>
        </w:rPr>
        <w:t>Health as an outcome of social practices: Re-</w:t>
      </w:r>
      <w:proofErr w:type="spellStart"/>
      <w:r>
        <w:rPr>
          <w:rFonts w:ascii="Arial" w:hAnsi="Arial" w:cs="Arial"/>
          <w:b/>
          <w:bCs/>
          <w:color w:val="000000"/>
          <w:sz w:val="40"/>
          <w:szCs w:val="40"/>
          <w:lang w:val="en-US"/>
        </w:rPr>
        <w:t>conceptualising</w:t>
      </w:r>
      <w:proofErr w:type="spellEnd"/>
      <w:r>
        <w:rPr>
          <w:rFonts w:ascii="Arial" w:hAnsi="Arial" w:cs="Arial"/>
          <w:b/>
          <w:bCs/>
          <w:color w:val="000000"/>
          <w:sz w:val="40"/>
          <w:szCs w:val="40"/>
          <w:lang w:val="en-US"/>
        </w:rPr>
        <w:t xml:space="preserve"> health education through a socio-technical lens</w:t>
      </w:r>
    </w:p>
    <w:p w:rsidR="009F1FBF" w:rsidRDefault="009F1FBF" w:rsidP="009F1FBF">
      <w:pPr>
        <w:jc w:val="center"/>
        <w:rPr>
          <w:color w:val="000000"/>
        </w:rPr>
      </w:pPr>
      <w:r>
        <w:rPr>
          <w:color w:val="000000"/>
        </w:rPr>
        <w:t> </w:t>
      </w:r>
    </w:p>
    <w:p w:rsidR="009F1FBF" w:rsidRDefault="009F1FBF" w:rsidP="009F1FBF">
      <w:pPr>
        <w:jc w:val="center"/>
        <w:rPr>
          <w:color w:val="000000"/>
        </w:rPr>
      </w:pPr>
      <w:r>
        <w:rPr>
          <w:rFonts w:ascii="Arial" w:hAnsi="Arial" w:cs="Arial"/>
          <w:b/>
          <w:bCs/>
          <w:color w:val="000000"/>
          <w:sz w:val="32"/>
          <w:szCs w:val="32"/>
        </w:rPr>
        <w:t>Thurs 15</w:t>
      </w:r>
      <w:r>
        <w:rPr>
          <w:rFonts w:ascii="Arial" w:hAnsi="Arial" w:cs="Arial"/>
          <w:b/>
          <w:bCs/>
          <w:color w:val="000000"/>
          <w:sz w:val="32"/>
          <w:szCs w:val="32"/>
          <w:vertAlign w:val="superscript"/>
        </w:rPr>
        <w:t>th</w:t>
      </w:r>
      <w:r>
        <w:rPr>
          <w:rFonts w:ascii="Arial" w:hAnsi="Arial" w:cs="Arial"/>
          <w:b/>
          <w:bCs/>
          <w:color w:val="000000"/>
          <w:sz w:val="32"/>
          <w:szCs w:val="32"/>
        </w:rPr>
        <w:t xml:space="preserve"> October, 4 – 5.30pm, M126, Mayfield, </w:t>
      </w:r>
      <w:proofErr w:type="spellStart"/>
      <w:r>
        <w:rPr>
          <w:rFonts w:ascii="Arial" w:hAnsi="Arial" w:cs="Arial"/>
          <w:b/>
          <w:bCs/>
          <w:color w:val="000000"/>
          <w:sz w:val="32"/>
          <w:szCs w:val="32"/>
        </w:rPr>
        <w:t>Falmer</w:t>
      </w:r>
      <w:proofErr w:type="spellEnd"/>
    </w:p>
    <w:p w:rsidR="009F1FBF" w:rsidRDefault="009F1FBF" w:rsidP="009F1FBF">
      <w:pPr>
        <w:spacing w:after="40"/>
        <w:rPr>
          <w:color w:val="000000"/>
        </w:rPr>
      </w:pPr>
      <w:r>
        <w:rPr>
          <w:color w:val="000000"/>
        </w:rPr>
        <w:t> </w:t>
      </w:r>
    </w:p>
    <w:p w:rsidR="009F1FBF" w:rsidRDefault="009F1FBF" w:rsidP="009F1FBF">
      <w:pPr>
        <w:rPr>
          <w:color w:val="000000"/>
        </w:rPr>
      </w:pPr>
      <w:r>
        <w:rPr>
          <w:rFonts w:ascii="Arial" w:hAnsi="Arial" w:cs="Arial"/>
          <w:color w:val="000000"/>
          <w:lang w:val="en-US"/>
        </w:rPr>
        <w:t xml:space="preserve">The social context is </w:t>
      </w:r>
      <w:proofErr w:type="spellStart"/>
      <w:r>
        <w:rPr>
          <w:rFonts w:ascii="Arial" w:hAnsi="Arial" w:cs="Arial"/>
          <w:color w:val="000000"/>
          <w:lang w:val="en-US"/>
        </w:rPr>
        <w:t>recognised</w:t>
      </w:r>
      <w:proofErr w:type="spellEnd"/>
      <w:r>
        <w:rPr>
          <w:rFonts w:ascii="Arial" w:hAnsi="Arial" w:cs="Arial"/>
          <w:color w:val="000000"/>
          <w:lang w:val="en-US"/>
        </w:rPr>
        <w:t xml:space="preserve"> as playing an important role in understanding and improving health and educational outcomes as evidenced by international recognition of the social determinants of health. However, although this recognition has guided the way health promotion and health education are addressed globally, the aim of the Ottawa Charter to create health for all by the year 2000 has not been achieved. Further, in post-industrial societies it is now evident that existing approaches have not averted large-scale health problems such as obesity. In attempting to understand why this might be so, this paper reconsiders how health outcomes at the individual and household level can be understood and interpreted by drawing on theories of social practice as developed by Theodore </w:t>
      </w:r>
      <w:proofErr w:type="spellStart"/>
      <w:r>
        <w:rPr>
          <w:rFonts w:ascii="Arial" w:hAnsi="Arial" w:cs="Arial"/>
          <w:color w:val="000000"/>
          <w:lang w:val="en-US"/>
        </w:rPr>
        <w:t>Schatzki</w:t>
      </w:r>
      <w:proofErr w:type="spellEnd"/>
      <w:r>
        <w:rPr>
          <w:rFonts w:ascii="Arial" w:hAnsi="Arial" w:cs="Arial"/>
          <w:color w:val="000000"/>
          <w:lang w:val="en-US"/>
        </w:rPr>
        <w:t xml:space="preserve">, Andreas </w:t>
      </w:r>
      <w:proofErr w:type="spellStart"/>
      <w:r>
        <w:rPr>
          <w:rFonts w:ascii="Arial" w:hAnsi="Arial" w:cs="Arial"/>
          <w:color w:val="000000"/>
          <w:lang w:val="en-US"/>
        </w:rPr>
        <w:t>Reckwitz</w:t>
      </w:r>
      <w:proofErr w:type="spellEnd"/>
      <w:r>
        <w:rPr>
          <w:rFonts w:ascii="Arial" w:hAnsi="Arial" w:cs="Arial"/>
          <w:color w:val="000000"/>
          <w:lang w:val="en-US"/>
        </w:rPr>
        <w:t xml:space="preserve"> and Elizabeth Shove among others. Theories of social practice have gained ground in sustainability and consumption research as an alternative means of understanding daily routines and the implications for sustainability, which has faced similar challenges to health promotion and health education. In particular, social practice theories incorporate the role of technologies and things in daily life, focusing on socio-technical relations rather than those that are social in nature only. This work is now being applied, making its way into cutting edge environmental research and policy in the UK and Australia as a way to move on from </w:t>
      </w:r>
      <w:proofErr w:type="spellStart"/>
      <w:r>
        <w:rPr>
          <w:rFonts w:ascii="Arial" w:hAnsi="Arial" w:cs="Arial"/>
          <w:color w:val="000000"/>
          <w:lang w:val="en-US"/>
        </w:rPr>
        <w:t>behaviour</w:t>
      </w:r>
      <w:proofErr w:type="spellEnd"/>
      <w:r>
        <w:rPr>
          <w:rFonts w:ascii="Arial" w:hAnsi="Arial" w:cs="Arial"/>
          <w:color w:val="000000"/>
          <w:lang w:val="en-US"/>
        </w:rPr>
        <w:t xml:space="preserve"> change and towards more situated means of </w:t>
      </w:r>
      <w:proofErr w:type="spellStart"/>
      <w:r>
        <w:rPr>
          <w:rFonts w:ascii="Arial" w:hAnsi="Arial" w:cs="Arial"/>
          <w:color w:val="000000"/>
          <w:lang w:val="en-US"/>
        </w:rPr>
        <w:t>conceptualising</w:t>
      </w:r>
      <w:proofErr w:type="spellEnd"/>
      <w:r>
        <w:rPr>
          <w:rFonts w:ascii="Arial" w:hAnsi="Arial" w:cs="Arial"/>
          <w:color w:val="000000"/>
          <w:lang w:val="en-US"/>
        </w:rPr>
        <w:t xml:space="preserve"> and creating social and environmental change.</w:t>
      </w:r>
    </w:p>
    <w:p w:rsidR="009F1FBF" w:rsidRDefault="009F1FBF" w:rsidP="009F1FBF">
      <w:pPr>
        <w:rPr>
          <w:color w:val="000000"/>
        </w:rPr>
      </w:pPr>
      <w:r>
        <w:rPr>
          <w:color w:val="000000"/>
        </w:rPr>
        <w:t> </w:t>
      </w:r>
    </w:p>
    <w:p w:rsidR="009F1FBF" w:rsidRDefault="009F1FBF" w:rsidP="009F1FBF">
      <w:pPr>
        <w:rPr>
          <w:color w:val="000000"/>
        </w:rPr>
      </w:pPr>
      <w:r>
        <w:rPr>
          <w:color w:val="000000"/>
        </w:rPr>
        <w:t> </w:t>
      </w:r>
    </w:p>
    <w:tbl>
      <w:tblPr>
        <w:tblW w:w="0" w:type="auto"/>
        <w:tblCellMar>
          <w:left w:w="0" w:type="dxa"/>
          <w:right w:w="0" w:type="dxa"/>
        </w:tblCellMar>
        <w:tblLook w:val="04A0"/>
      </w:tblPr>
      <w:tblGrid>
        <w:gridCol w:w="2201"/>
        <w:gridCol w:w="7041"/>
      </w:tblGrid>
      <w:tr w:rsidR="009F1FBF" w:rsidTr="009F1FBF">
        <w:tc>
          <w:tcPr>
            <w:tcW w:w="2235" w:type="dxa"/>
            <w:tcMar>
              <w:top w:w="0" w:type="dxa"/>
              <w:left w:w="108" w:type="dxa"/>
              <w:bottom w:w="0" w:type="dxa"/>
              <w:right w:w="108" w:type="dxa"/>
            </w:tcMar>
            <w:hideMark/>
          </w:tcPr>
          <w:p w:rsidR="009F1FBF" w:rsidRDefault="009F1FBF">
            <w:pPr>
              <w:spacing w:after="200" w:line="276" w:lineRule="auto"/>
            </w:pPr>
            <w:r>
              <w:rPr>
                <w:rFonts w:ascii="Arial" w:hAnsi="Arial" w:cs="Arial"/>
                <w:b/>
                <w:bCs/>
                <w:noProof/>
                <w:sz w:val="28"/>
                <w:szCs w:val="28"/>
              </w:rPr>
              <w:lastRenderedPageBreak/>
              <w:drawing>
                <wp:inline distT="0" distB="0" distL="0" distR="0">
                  <wp:extent cx="1181100" cy="1762125"/>
                  <wp:effectExtent l="19050" t="0" r="0" b="0"/>
                  <wp:docPr id="2" name="Picture 1" descr="41-JENRSfNL__SX332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JENRSfNL__SX332_BO1,204,203,200_"/>
                          <pic:cNvPicPr>
                            <a:picLocks noChangeAspect="1" noChangeArrowheads="1"/>
                          </pic:cNvPicPr>
                        </pic:nvPicPr>
                        <pic:blipFill>
                          <a:blip r:embed="rId11" r:link="rId12" cstate="print"/>
                          <a:srcRect/>
                          <a:stretch>
                            <a:fillRect/>
                          </a:stretch>
                        </pic:blipFill>
                        <pic:spPr bwMode="auto">
                          <a:xfrm>
                            <a:off x="0" y="0"/>
                            <a:ext cx="1181100" cy="1762125"/>
                          </a:xfrm>
                          <a:prstGeom prst="rect">
                            <a:avLst/>
                          </a:prstGeom>
                          <a:noFill/>
                          <a:ln w="9525">
                            <a:noFill/>
                            <a:miter lim="800000"/>
                            <a:headEnd/>
                            <a:tailEnd/>
                          </a:ln>
                        </pic:spPr>
                      </pic:pic>
                    </a:graphicData>
                  </a:graphic>
                </wp:inline>
              </w:drawing>
            </w:r>
          </w:p>
        </w:tc>
        <w:tc>
          <w:tcPr>
            <w:tcW w:w="8896" w:type="dxa"/>
            <w:tcMar>
              <w:top w:w="0" w:type="dxa"/>
              <w:left w:w="108" w:type="dxa"/>
              <w:bottom w:w="0" w:type="dxa"/>
              <w:right w:w="108" w:type="dxa"/>
            </w:tcMar>
            <w:hideMark/>
          </w:tcPr>
          <w:p w:rsidR="009F1FBF" w:rsidRDefault="009F1FBF">
            <w:r>
              <w:rPr>
                <w:rFonts w:ascii="Arial" w:hAnsi="Arial" w:cs="Arial"/>
              </w:rPr>
              <w:t xml:space="preserve">Cecily </w:t>
            </w:r>
            <w:proofErr w:type="spellStart"/>
            <w:r>
              <w:rPr>
                <w:rFonts w:ascii="Arial" w:hAnsi="Arial" w:cs="Arial"/>
              </w:rPr>
              <w:t>Maller</w:t>
            </w:r>
            <w:proofErr w:type="spellEnd"/>
            <w:r>
              <w:rPr>
                <w:rFonts w:ascii="Arial" w:hAnsi="Arial" w:cs="Arial"/>
              </w:rPr>
              <w:t xml:space="preserve"> researches human-environment interactions, everyday life, sustainability and health using theories from sociology and human geography. She currently holds a 5-year </w:t>
            </w:r>
            <w:proofErr w:type="spellStart"/>
            <w:r>
              <w:rPr>
                <w:rFonts w:ascii="Arial" w:hAnsi="Arial" w:cs="Arial"/>
              </w:rPr>
              <w:t>VicHealth</w:t>
            </w:r>
            <w:proofErr w:type="spellEnd"/>
            <w:r>
              <w:rPr>
                <w:rFonts w:ascii="Arial" w:hAnsi="Arial" w:cs="Arial"/>
              </w:rPr>
              <w:t xml:space="preserve"> Research Practice Fellowship in Community Development and Residential Planning (2012-2015). To explore how best-practice planning affects health and wellbeing Cecily is investigating the planned, emerging and accidental outcomes of a master-planned estate in Melbourne’s south east. She has written recently about green renovations, migration and health using theories of social </w:t>
            </w:r>
            <w:proofErr w:type="gramStart"/>
            <w:r>
              <w:rPr>
                <w:rFonts w:ascii="Arial" w:hAnsi="Arial" w:cs="Arial"/>
              </w:rPr>
              <w:t>practice,</w:t>
            </w:r>
            <w:proofErr w:type="gramEnd"/>
            <w:r>
              <w:rPr>
                <w:rFonts w:ascii="Arial" w:hAnsi="Arial" w:cs="Arial"/>
              </w:rPr>
              <w:t xml:space="preserve"> and with Dr </w:t>
            </w:r>
            <w:proofErr w:type="spellStart"/>
            <w:r>
              <w:rPr>
                <w:rFonts w:ascii="Arial" w:hAnsi="Arial" w:cs="Arial"/>
              </w:rPr>
              <w:t>Yolande</w:t>
            </w:r>
            <w:proofErr w:type="spellEnd"/>
            <w:r>
              <w:rPr>
                <w:rFonts w:ascii="Arial" w:hAnsi="Arial" w:cs="Arial"/>
              </w:rPr>
              <w:t xml:space="preserve"> </w:t>
            </w:r>
            <w:proofErr w:type="spellStart"/>
            <w:r>
              <w:rPr>
                <w:rFonts w:ascii="Arial" w:hAnsi="Arial" w:cs="Arial"/>
              </w:rPr>
              <w:t>Strengers</w:t>
            </w:r>
            <w:proofErr w:type="spellEnd"/>
            <w:r>
              <w:rPr>
                <w:rFonts w:ascii="Arial" w:hAnsi="Arial" w:cs="Arial"/>
              </w:rPr>
              <w:t xml:space="preserve"> has co-edited a book titled Social Practices, Interventions and Sustainability: Beyond Behaviour Change (</w:t>
            </w:r>
            <w:proofErr w:type="spellStart"/>
            <w:r>
              <w:rPr>
                <w:rFonts w:ascii="Arial" w:hAnsi="Arial" w:cs="Arial"/>
              </w:rPr>
              <w:t>Routledge</w:t>
            </w:r>
            <w:proofErr w:type="spellEnd"/>
            <w:r>
              <w:rPr>
                <w:rFonts w:ascii="Arial" w:hAnsi="Arial" w:cs="Arial"/>
              </w:rPr>
              <w:t>, 2014). Cecily has worked in a range of research roles in universities and governments in Australia since 1998. She has a BSc in Environmental Studies and a PhD in Health Promotion.</w:t>
            </w:r>
          </w:p>
        </w:tc>
      </w:tr>
    </w:tbl>
    <w:p w:rsidR="003216DB" w:rsidRDefault="003216DB"/>
    <w:sectPr w:rsidR="003216DB" w:rsidSect="001F1163">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rsids>
    <w:rsidRoot w:val="009F1FBF"/>
    <w:rsid w:val="001F1163"/>
    <w:rsid w:val="003216DB"/>
    <w:rsid w:val="00720E33"/>
    <w:rsid w:val="00771056"/>
    <w:rsid w:val="007D1ABA"/>
    <w:rsid w:val="008156ED"/>
    <w:rsid w:val="00842569"/>
    <w:rsid w:val="009F1FBF"/>
    <w:rsid w:val="00BD4C83"/>
    <w:rsid w:val="00CD024F"/>
    <w:rsid w:val="00F72BC2"/>
    <w:rsid w:val="00F87A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B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FBF"/>
    <w:rPr>
      <w:color w:val="0000FF"/>
      <w:u w:val="single"/>
    </w:rPr>
  </w:style>
  <w:style w:type="paragraph" w:styleId="BalloonText">
    <w:name w:val="Balloon Text"/>
    <w:basedOn w:val="Normal"/>
    <w:link w:val="BalloonTextChar"/>
    <w:uiPriority w:val="99"/>
    <w:semiHidden/>
    <w:unhideWhenUsed/>
    <w:rsid w:val="009F1FBF"/>
    <w:rPr>
      <w:rFonts w:ascii="Tahoma" w:hAnsi="Tahoma" w:cs="Tahoma"/>
      <w:sz w:val="16"/>
      <w:szCs w:val="16"/>
    </w:rPr>
  </w:style>
  <w:style w:type="character" w:customStyle="1" w:styleId="BalloonTextChar">
    <w:name w:val="Balloon Text Char"/>
    <w:basedOn w:val="DefaultParagraphFont"/>
    <w:link w:val="BalloonText"/>
    <w:uiPriority w:val="99"/>
    <w:semiHidden/>
    <w:rsid w:val="009F1FBF"/>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8538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briggs@brighton.ac.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ocs.google.com/forms/d/1MCIH7fRSUV8w-4fopLpWm7VR0XCnHJJCBujlTZRG4a0/viewform?c=0&amp;w=1" TargetMode="External"/><Relationship Id="rId12" Type="http://schemas.openxmlformats.org/officeDocument/2006/relationships/image" Target="cid:image002.jpg@01D0F6C6.993A0B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cid:image001.jpg@01D0F6C6.993A0BA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E230C66E7624187A49727E0615A45" ma:contentTypeVersion="0" ma:contentTypeDescription="Create a new document." ma:contentTypeScope="" ma:versionID="05ace3a50432056d577f76ef27294465">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DF9DC3-18BF-4FB7-9023-231A7A4CA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34F167-4255-4741-8E90-63F620FF929A}">
  <ds:schemaRefs>
    <ds:schemaRef ds:uri="http://schemas.microsoft.com/sharepoint/v3/contenttype/forms"/>
  </ds:schemaRefs>
</ds:datastoreItem>
</file>

<file path=customXml/itemProps3.xml><?xml version="1.0" encoding="utf-8"?>
<ds:datastoreItem xmlns:ds="http://schemas.openxmlformats.org/officeDocument/2006/customXml" ds:itemID="{04FA4122-4749-41F6-8BFC-1DDDB34036F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Company>University of Brighton</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Williams</dc:creator>
  <cp:lastModifiedBy>Carol Williams</cp:lastModifiedBy>
  <cp:revision>1</cp:revision>
  <dcterms:created xsi:type="dcterms:W3CDTF">2015-09-30T16:08:00Z</dcterms:created>
  <dcterms:modified xsi:type="dcterms:W3CDTF">2015-09-30T16:09:00Z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0x010100184E230C66E7624187A49727E0615A45</vt:lpwstr>
  </property>
</Properties>
</file>