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1C203" w14:textId="6BFA9199" w:rsidR="006300BD" w:rsidRDefault="000B7DD4" w:rsidP="00223E9B">
      <w:pPr>
        <w:pStyle w:val="Heading1"/>
        <w:jc w:val="center"/>
      </w:pPr>
      <w:r>
        <w:t xml:space="preserve">Summative </w:t>
      </w:r>
      <w:proofErr w:type="spellStart"/>
      <w:r w:rsidR="006300BD">
        <w:t>eAssessment</w:t>
      </w:r>
      <w:proofErr w:type="spellEnd"/>
      <w:r w:rsidR="006300BD">
        <w:t xml:space="preserve"> </w:t>
      </w:r>
      <w:r w:rsidR="00FF569F">
        <w:t>Guidelines</w:t>
      </w:r>
      <w:r>
        <w:t xml:space="preserve"> for Electronic Examinations</w:t>
      </w:r>
    </w:p>
    <w:p w14:paraId="03E7419E" w14:textId="77777777" w:rsidR="006300BD" w:rsidRDefault="006300BD" w:rsidP="006300BD">
      <w:pPr>
        <w:widowControl w:val="0"/>
        <w:autoSpaceDE w:val="0"/>
        <w:autoSpaceDN w:val="0"/>
        <w:adjustRightInd w:val="0"/>
        <w:rPr>
          <w:rFonts w:ascii="Verdana" w:eastAsiaTheme="minorEastAsia" w:hAnsi="Verdana" w:cs="Verdana"/>
          <w:color w:val="414141"/>
          <w:sz w:val="24"/>
          <w:szCs w:val="24"/>
          <w:lang w:val="en-US" w:eastAsia="ja-JP"/>
        </w:rPr>
      </w:pPr>
    </w:p>
    <w:p w14:paraId="289EA743" w14:textId="002FD805" w:rsidR="006300BD" w:rsidRDefault="006300BD" w:rsidP="00C64882">
      <w:pPr>
        <w:pStyle w:val="ListParagraph"/>
        <w:numPr>
          <w:ilvl w:val="0"/>
          <w:numId w:val="1"/>
        </w:numPr>
        <w:rPr>
          <w:lang w:val="en-US" w:eastAsia="ja-JP"/>
        </w:rPr>
      </w:pPr>
      <w:r w:rsidRPr="00C64882">
        <w:rPr>
          <w:lang w:val="en-US" w:eastAsia="ja-JP"/>
        </w:rPr>
        <w:t xml:space="preserve">The </w:t>
      </w:r>
      <w:proofErr w:type="spellStart"/>
      <w:r w:rsidRPr="00C64882">
        <w:rPr>
          <w:lang w:val="en-US" w:eastAsia="ja-JP"/>
        </w:rPr>
        <w:t>e</w:t>
      </w:r>
      <w:r w:rsidR="00FF569F">
        <w:rPr>
          <w:lang w:val="en-US" w:eastAsia="ja-JP"/>
        </w:rPr>
        <w:t>A</w:t>
      </w:r>
      <w:r w:rsidRPr="00C64882">
        <w:rPr>
          <w:lang w:val="en-US" w:eastAsia="ja-JP"/>
        </w:rPr>
        <w:t>ssessment</w:t>
      </w:r>
      <w:proofErr w:type="spellEnd"/>
      <w:r w:rsidRPr="00C64882">
        <w:rPr>
          <w:lang w:val="en-US" w:eastAsia="ja-JP"/>
        </w:rPr>
        <w:t xml:space="preserve"> </w:t>
      </w:r>
      <w:r w:rsidR="00FF569F">
        <w:rPr>
          <w:lang w:val="en-US" w:eastAsia="ja-JP"/>
        </w:rPr>
        <w:t>guidelines</w:t>
      </w:r>
      <w:r w:rsidR="00FF569F" w:rsidRPr="00C64882">
        <w:rPr>
          <w:lang w:val="en-US" w:eastAsia="ja-JP"/>
        </w:rPr>
        <w:t xml:space="preserve"> </w:t>
      </w:r>
      <w:r w:rsidRPr="00C64882">
        <w:rPr>
          <w:lang w:val="en-US" w:eastAsia="ja-JP"/>
        </w:rPr>
        <w:t>outline the minimum requirements that the University expects to be met when delivering summative assessment electronically.  Th</w:t>
      </w:r>
      <w:r w:rsidR="00FF569F">
        <w:rPr>
          <w:lang w:val="en-US" w:eastAsia="ja-JP"/>
        </w:rPr>
        <w:t xml:space="preserve">is is </w:t>
      </w:r>
      <w:r w:rsidRPr="00C64882">
        <w:rPr>
          <w:lang w:val="en-US" w:eastAsia="ja-JP"/>
        </w:rPr>
        <w:t>in addition to normal University policies, procedures and regulations relating to assessment, which will apply unless otherwise stated.</w:t>
      </w:r>
    </w:p>
    <w:p w14:paraId="699DF15D" w14:textId="77777777" w:rsidR="002E7EAD" w:rsidRPr="00C64882" w:rsidRDefault="002E7EAD" w:rsidP="002E7EAD">
      <w:pPr>
        <w:pStyle w:val="ListParagraph"/>
        <w:rPr>
          <w:lang w:val="en-US" w:eastAsia="ja-JP"/>
        </w:rPr>
      </w:pPr>
    </w:p>
    <w:p w14:paraId="77F0F0FB" w14:textId="467EED51" w:rsidR="00C64882" w:rsidRDefault="006300BD" w:rsidP="00853CEC">
      <w:pPr>
        <w:pStyle w:val="ListParagraph"/>
        <w:numPr>
          <w:ilvl w:val="0"/>
          <w:numId w:val="1"/>
        </w:numPr>
        <w:rPr>
          <w:lang w:val="en-US" w:eastAsia="ja-JP"/>
        </w:rPr>
      </w:pPr>
      <w:r w:rsidRPr="00C64882">
        <w:rPr>
          <w:lang w:val="en-US" w:eastAsia="ja-JP"/>
        </w:rPr>
        <w:t xml:space="preserve">Summative assessment must be conducted via the University’s approved </w:t>
      </w:r>
      <w:proofErr w:type="spellStart"/>
      <w:r w:rsidRPr="00C64882">
        <w:rPr>
          <w:lang w:val="en-US" w:eastAsia="ja-JP"/>
        </w:rPr>
        <w:t>e</w:t>
      </w:r>
      <w:r w:rsidR="00FF569F">
        <w:rPr>
          <w:lang w:val="en-US" w:eastAsia="ja-JP"/>
        </w:rPr>
        <w:t>A</w:t>
      </w:r>
      <w:r w:rsidRPr="00C64882">
        <w:rPr>
          <w:lang w:val="en-US" w:eastAsia="ja-JP"/>
        </w:rPr>
        <w:t>ssessment</w:t>
      </w:r>
      <w:proofErr w:type="spellEnd"/>
      <w:r w:rsidRPr="00C64882">
        <w:rPr>
          <w:lang w:val="en-US" w:eastAsia="ja-JP"/>
        </w:rPr>
        <w:t xml:space="preserve"> software </w:t>
      </w:r>
    </w:p>
    <w:p w14:paraId="6B4164DC" w14:textId="77777777" w:rsidR="002E7EAD" w:rsidRPr="002E7EAD" w:rsidRDefault="002E7EAD" w:rsidP="002E7EAD">
      <w:pPr>
        <w:rPr>
          <w:lang w:val="en-US" w:eastAsia="ja-JP"/>
        </w:rPr>
      </w:pPr>
    </w:p>
    <w:p w14:paraId="0527B594" w14:textId="34D7AB0F" w:rsidR="00C64882" w:rsidRDefault="006300BD" w:rsidP="00853CEC">
      <w:pPr>
        <w:pStyle w:val="ListParagraph"/>
        <w:numPr>
          <w:ilvl w:val="0"/>
          <w:numId w:val="1"/>
        </w:numPr>
        <w:rPr>
          <w:lang w:val="en-US" w:eastAsia="ja-JP"/>
        </w:rPr>
      </w:pPr>
      <w:r>
        <w:rPr>
          <w:lang w:val="en-US" w:eastAsia="ja-JP"/>
        </w:rPr>
        <w:t xml:space="preserve">All staff members involved in the e-assessment process must be familiar with the </w:t>
      </w:r>
      <w:proofErr w:type="spellStart"/>
      <w:r w:rsidR="00FF569F">
        <w:rPr>
          <w:lang w:val="en-US" w:eastAsia="ja-JP"/>
        </w:rPr>
        <w:t>eAssessment</w:t>
      </w:r>
      <w:proofErr w:type="spellEnd"/>
      <w:r w:rsidR="00FF569F">
        <w:rPr>
          <w:lang w:val="en-US" w:eastAsia="ja-JP"/>
        </w:rPr>
        <w:t xml:space="preserve"> </w:t>
      </w:r>
      <w:r w:rsidR="00C64882">
        <w:rPr>
          <w:lang w:val="en-US" w:eastAsia="ja-JP"/>
        </w:rPr>
        <w:t>software</w:t>
      </w:r>
      <w:r>
        <w:rPr>
          <w:lang w:val="en-US" w:eastAsia="ja-JP"/>
        </w:rPr>
        <w:t>.</w:t>
      </w:r>
    </w:p>
    <w:p w14:paraId="54BE9276" w14:textId="77777777" w:rsidR="00651048" w:rsidRPr="00651048" w:rsidRDefault="00651048" w:rsidP="00651048">
      <w:pPr>
        <w:rPr>
          <w:lang w:val="en-US" w:eastAsia="ja-JP"/>
        </w:rPr>
      </w:pPr>
    </w:p>
    <w:p w14:paraId="3CC9E420" w14:textId="77777777" w:rsidR="00D41199" w:rsidRPr="00D41199" w:rsidRDefault="00D41199" w:rsidP="00D41199">
      <w:pPr>
        <w:pStyle w:val="ListParagraph"/>
        <w:numPr>
          <w:ilvl w:val="0"/>
          <w:numId w:val="1"/>
        </w:numPr>
        <w:rPr>
          <w:lang w:val="en-US" w:eastAsia="ja-JP"/>
        </w:rPr>
      </w:pPr>
      <w:r w:rsidRPr="00D41199">
        <w:rPr>
          <w:lang w:val="en-US" w:eastAsia="ja-JP"/>
        </w:rPr>
        <w:t>The Switch it On guidelines will be followed</w:t>
      </w:r>
    </w:p>
    <w:p w14:paraId="0702BB48" w14:textId="77777777" w:rsidR="002E7EAD" w:rsidRPr="002E7EAD" w:rsidRDefault="002E7EAD" w:rsidP="002E7EAD">
      <w:pPr>
        <w:rPr>
          <w:lang w:val="en-US" w:eastAsia="ja-JP"/>
        </w:rPr>
      </w:pPr>
    </w:p>
    <w:p w14:paraId="7858E33E" w14:textId="4DCB8789" w:rsidR="00882EDB" w:rsidRPr="004C04EB" w:rsidRDefault="006B3BFF" w:rsidP="006B3BFF">
      <w:pPr>
        <w:pStyle w:val="ListParagraph"/>
        <w:numPr>
          <w:ilvl w:val="0"/>
          <w:numId w:val="1"/>
        </w:numPr>
      </w:pPr>
      <w:r w:rsidRPr="004C04EB">
        <w:rPr>
          <w:lang w:val="en-US" w:eastAsia="ja-JP"/>
        </w:rPr>
        <w:t xml:space="preserve">In cases of serious technical failure which affects the whole group </w:t>
      </w:r>
      <w:r w:rsidR="00D74DF1" w:rsidRPr="004C04EB">
        <w:rPr>
          <w:lang w:val="en-US" w:eastAsia="ja-JP"/>
        </w:rPr>
        <w:t xml:space="preserve">then the procedures in GEAR Section </w:t>
      </w:r>
      <w:r w:rsidR="009E6AFC" w:rsidRPr="004C04EB">
        <w:t xml:space="preserve">B14.2.4, 4.7 </w:t>
      </w:r>
      <w:r w:rsidR="00D74DF1" w:rsidRPr="004C04EB">
        <w:t>should</w:t>
      </w:r>
      <w:r w:rsidR="00D74DF1" w:rsidRPr="004C04EB">
        <w:rPr>
          <w:lang w:val="en-US" w:eastAsia="ja-JP"/>
        </w:rPr>
        <w:t xml:space="preserve"> be followed.</w:t>
      </w:r>
    </w:p>
    <w:p w14:paraId="1599388B" w14:textId="77777777" w:rsidR="002E7EAD" w:rsidRPr="004C04EB" w:rsidRDefault="002E7EAD" w:rsidP="002E7EAD"/>
    <w:p w14:paraId="2BF7FD7A" w14:textId="700727A9" w:rsidR="004C04EB" w:rsidRPr="004C04EB" w:rsidRDefault="006300BD" w:rsidP="004C04EB">
      <w:pPr>
        <w:pStyle w:val="ListParagraph"/>
        <w:numPr>
          <w:ilvl w:val="0"/>
          <w:numId w:val="1"/>
        </w:numPr>
      </w:pPr>
      <w:r w:rsidRPr="004C04EB">
        <w:rPr>
          <w:lang w:val="en-US" w:eastAsia="ja-JP"/>
        </w:rPr>
        <w:t>External Examiners should hav</w:t>
      </w:r>
      <w:r w:rsidR="00287CE4" w:rsidRPr="004C04EB">
        <w:rPr>
          <w:lang w:val="en-US" w:eastAsia="ja-JP"/>
        </w:rPr>
        <w:t>e experience of the process of </w:t>
      </w:r>
      <w:proofErr w:type="spellStart"/>
      <w:r w:rsidRPr="004C04EB">
        <w:rPr>
          <w:lang w:val="en-US" w:eastAsia="ja-JP"/>
        </w:rPr>
        <w:t>e</w:t>
      </w:r>
      <w:r w:rsidR="00253D7B" w:rsidRPr="004C04EB">
        <w:rPr>
          <w:lang w:val="en-US" w:eastAsia="ja-JP"/>
        </w:rPr>
        <w:t>A</w:t>
      </w:r>
      <w:r w:rsidRPr="004C04EB">
        <w:rPr>
          <w:lang w:val="en-US" w:eastAsia="ja-JP"/>
        </w:rPr>
        <w:t>ssessment</w:t>
      </w:r>
      <w:proofErr w:type="spellEnd"/>
      <w:r w:rsidRPr="004C04EB">
        <w:rPr>
          <w:lang w:val="en-US" w:eastAsia="ja-JP"/>
        </w:rPr>
        <w:t xml:space="preserve"> and be provided with </w:t>
      </w:r>
      <w:r w:rsidR="00253D7B" w:rsidRPr="004C04EB">
        <w:rPr>
          <w:lang w:val="en-US" w:eastAsia="ja-JP"/>
        </w:rPr>
        <w:t xml:space="preserve">the opportunity to have </w:t>
      </w:r>
      <w:r w:rsidRPr="004C04EB">
        <w:rPr>
          <w:lang w:val="en-US" w:eastAsia="ja-JP"/>
        </w:rPr>
        <w:t>appropriate training to allow for effective interaction with the University’s software</w:t>
      </w:r>
      <w:r w:rsidR="004C04EB" w:rsidRPr="004C04EB">
        <w:rPr>
          <w:lang w:val="en-US" w:eastAsia="ja-JP"/>
        </w:rPr>
        <w:t xml:space="preserve"> </w:t>
      </w:r>
      <w:r w:rsidR="004C04EB" w:rsidRPr="004C04EB">
        <w:rPr>
          <w:lang w:val="en-US" w:eastAsia="ja-JP"/>
        </w:rPr>
        <w:t>in accordance with the University’s policy for External Examiners</w:t>
      </w:r>
    </w:p>
    <w:p w14:paraId="0B84E50B" w14:textId="77777777" w:rsidR="002E7EAD" w:rsidRPr="004C04EB" w:rsidRDefault="002E7EAD" w:rsidP="002E7EAD"/>
    <w:p w14:paraId="0094B07F" w14:textId="3C07ECE2" w:rsidR="00D21000" w:rsidRPr="004C04EB" w:rsidRDefault="006300BD" w:rsidP="00D21000">
      <w:pPr>
        <w:pStyle w:val="ListParagraph"/>
        <w:numPr>
          <w:ilvl w:val="0"/>
          <w:numId w:val="1"/>
        </w:numPr>
      </w:pPr>
      <w:r w:rsidRPr="004C04EB">
        <w:rPr>
          <w:lang w:val="en-US" w:eastAsia="ja-JP"/>
        </w:rPr>
        <w:t xml:space="preserve">In order to </w:t>
      </w:r>
      <w:r w:rsidR="00F84A0A" w:rsidRPr="004C04EB">
        <w:rPr>
          <w:lang w:val="en-US" w:eastAsia="ja-JP"/>
        </w:rPr>
        <w:t>fulfill</w:t>
      </w:r>
      <w:r w:rsidRPr="004C04EB">
        <w:rPr>
          <w:lang w:val="en-US" w:eastAsia="ja-JP"/>
        </w:rPr>
        <w:t xml:space="preserve"> their responsibilities, External Exam</w:t>
      </w:r>
      <w:r w:rsidR="00287CE4" w:rsidRPr="004C04EB">
        <w:rPr>
          <w:lang w:val="en-US" w:eastAsia="ja-JP"/>
        </w:rPr>
        <w:t>iners should be granted access </w:t>
      </w:r>
      <w:r w:rsidRPr="004C04EB">
        <w:rPr>
          <w:lang w:val="en-US" w:eastAsia="ja-JP"/>
        </w:rPr>
        <w:t xml:space="preserve">to the </w:t>
      </w:r>
      <w:proofErr w:type="spellStart"/>
      <w:r w:rsidRPr="004C04EB">
        <w:rPr>
          <w:lang w:val="en-US" w:eastAsia="ja-JP"/>
        </w:rPr>
        <w:t>e</w:t>
      </w:r>
      <w:r w:rsidR="00253D7B" w:rsidRPr="004C04EB">
        <w:rPr>
          <w:lang w:val="en-US" w:eastAsia="ja-JP"/>
        </w:rPr>
        <w:t>A</w:t>
      </w:r>
      <w:r w:rsidRPr="004C04EB">
        <w:rPr>
          <w:lang w:val="en-US" w:eastAsia="ja-JP"/>
        </w:rPr>
        <w:t>ssessment</w:t>
      </w:r>
      <w:proofErr w:type="spellEnd"/>
      <w:r w:rsidRPr="004C04EB">
        <w:rPr>
          <w:lang w:val="en-US" w:eastAsia="ja-JP"/>
        </w:rPr>
        <w:t xml:space="preserve"> software to review examination papers and student scripts in the format in which they are to be delivered</w:t>
      </w:r>
    </w:p>
    <w:p w14:paraId="1366E1DE" w14:textId="77777777" w:rsidR="002E7EAD" w:rsidRPr="004C04EB" w:rsidRDefault="002E7EAD" w:rsidP="002E7EAD"/>
    <w:p w14:paraId="360B8105" w14:textId="494BB285" w:rsidR="002A5C5E" w:rsidRPr="007F3733" w:rsidRDefault="00D21000" w:rsidP="006348FB">
      <w:pPr>
        <w:pStyle w:val="ListParagraph"/>
        <w:sectPr w:rsidR="002A5C5E" w:rsidRPr="007F3733" w:rsidSect="007B2179">
          <w:headerReference w:type="default" r:id="rId11"/>
          <w:footerReference w:type="default" r:id="rId12"/>
          <w:pgSz w:w="12240" w:h="15840"/>
          <w:pgMar w:top="1440" w:right="1800" w:bottom="1440" w:left="1800" w:header="720" w:footer="720" w:gutter="0"/>
          <w:cols w:space="720"/>
          <w:noEndnote/>
        </w:sectPr>
      </w:pPr>
      <w:r w:rsidRPr="004C04EB">
        <w:rPr>
          <w:lang w:val="en-US" w:eastAsia="ja-JP"/>
        </w:rPr>
        <w:t>.</w:t>
      </w:r>
      <w:r w:rsidRPr="00D21000">
        <w:rPr>
          <w:lang w:val="en-US" w:eastAsia="ja-JP"/>
        </w:rPr>
        <w:t xml:space="preserve"> </w:t>
      </w:r>
    </w:p>
    <w:p w14:paraId="5407E90D" w14:textId="44DCA969" w:rsidR="003744D5" w:rsidRPr="00223E9B" w:rsidRDefault="006F65D4" w:rsidP="00E23EE6">
      <w:pPr>
        <w:pStyle w:val="Heading2"/>
        <w:jc w:val="center"/>
        <w:rPr>
          <w:szCs w:val="22"/>
        </w:rPr>
      </w:pPr>
      <w:r>
        <w:rPr>
          <w:szCs w:val="22"/>
        </w:rPr>
        <w:lastRenderedPageBreak/>
        <w:t xml:space="preserve">Summative </w:t>
      </w:r>
      <w:proofErr w:type="spellStart"/>
      <w:r w:rsidR="003744D5" w:rsidRPr="00223E9B">
        <w:rPr>
          <w:szCs w:val="22"/>
        </w:rPr>
        <w:t>eAssessment</w:t>
      </w:r>
      <w:proofErr w:type="spellEnd"/>
      <w:r w:rsidR="003744D5" w:rsidRPr="00223E9B">
        <w:rPr>
          <w:szCs w:val="22"/>
        </w:rPr>
        <w:t xml:space="preserve"> Responsibilities Chart</w:t>
      </w:r>
      <w:r>
        <w:rPr>
          <w:szCs w:val="22"/>
        </w:rPr>
        <w:t xml:space="preserve"> for Electronic Examinations</w:t>
      </w:r>
    </w:p>
    <w:p w14:paraId="4E846C2B" w14:textId="77777777" w:rsidR="003744D5" w:rsidRDefault="003744D5" w:rsidP="003744D5"/>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85"/>
        <w:gridCol w:w="9848"/>
      </w:tblGrid>
      <w:tr w:rsidR="003744D5" w14:paraId="20E962B2" w14:textId="77777777" w:rsidTr="002A5C5E">
        <w:trPr>
          <w:tblHeader/>
        </w:trPr>
        <w:tc>
          <w:tcPr>
            <w:tcW w:w="1809" w:type="dxa"/>
            <w:shd w:val="clear" w:color="auto" w:fill="auto"/>
          </w:tcPr>
          <w:p w14:paraId="49367C4C" w14:textId="77777777" w:rsidR="003744D5" w:rsidRDefault="003744D5" w:rsidP="00334E63">
            <w:pPr>
              <w:rPr>
                <w:b/>
              </w:rPr>
            </w:pPr>
            <w:r>
              <w:rPr>
                <w:b/>
              </w:rPr>
              <w:t>Role</w:t>
            </w:r>
          </w:p>
        </w:tc>
        <w:tc>
          <w:tcPr>
            <w:tcW w:w="2485" w:type="dxa"/>
            <w:shd w:val="clear" w:color="auto" w:fill="auto"/>
          </w:tcPr>
          <w:p w14:paraId="4A4B3ECF" w14:textId="77777777" w:rsidR="003744D5" w:rsidRPr="00442CC6" w:rsidRDefault="003744D5" w:rsidP="00334E63">
            <w:pPr>
              <w:rPr>
                <w:b/>
              </w:rPr>
            </w:pPr>
            <w:r w:rsidRPr="00442CC6">
              <w:rPr>
                <w:b/>
              </w:rPr>
              <w:t>Overall Responsibility</w:t>
            </w:r>
          </w:p>
        </w:tc>
        <w:tc>
          <w:tcPr>
            <w:tcW w:w="9848" w:type="dxa"/>
            <w:shd w:val="clear" w:color="auto" w:fill="auto"/>
          </w:tcPr>
          <w:p w14:paraId="43B564D0" w14:textId="77777777" w:rsidR="003744D5" w:rsidRPr="001D7AD1" w:rsidRDefault="003744D5" w:rsidP="00334E63">
            <w:pPr>
              <w:rPr>
                <w:b/>
              </w:rPr>
            </w:pPr>
            <w:r>
              <w:rPr>
                <w:b/>
              </w:rPr>
              <w:t>Outline Responsibilities</w:t>
            </w:r>
          </w:p>
        </w:tc>
      </w:tr>
      <w:tr w:rsidR="003744D5" w14:paraId="2F95C5C3" w14:textId="77777777" w:rsidTr="002A5C5E">
        <w:tc>
          <w:tcPr>
            <w:tcW w:w="1809" w:type="dxa"/>
            <w:shd w:val="clear" w:color="auto" w:fill="auto"/>
          </w:tcPr>
          <w:p w14:paraId="347C060E" w14:textId="5C12D2D0" w:rsidR="003744D5" w:rsidRDefault="003744D5" w:rsidP="00334E63">
            <w:pPr>
              <w:rPr>
                <w:b/>
              </w:rPr>
            </w:pPr>
            <w:r>
              <w:rPr>
                <w:b/>
              </w:rPr>
              <w:t>Administration</w:t>
            </w:r>
          </w:p>
        </w:tc>
        <w:tc>
          <w:tcPr>
            <w:tcW w:w="2485" w:type="dxa"/>
            <w:shd w:val="clear" w:color="auto" w:fill="auto"/>
          </w:tcPr>
          <w:p w14:paraId="15011431" w14:textId="0A3B7EE3" w:rsidR="003744D5" w:rsidRPr="001D7AD1" w:rsidRDefault="003402BC" w:rsidP="00334E63">
            <w:r>
              <w:t>School administrators</w:t>
            </w:r>
          </w:p>
        </w:tc>
        <w:tc>
          <w:tcPr>
            <w:tcW w:w="9848" w:type="dxa"/>
            <w:shd w:val="clear" w:color="auto" w:fill="auto"/>
          </w:tcPr>
          <w:p w14:paraId="65704BC1" w14:textId="77777777" w:rsidR="003744D5" w:rsidRDefault="003744D5" w:rsidP="00334E63">
            <w:r w:rsidRPr="00C0063A">
              <w:rPr>
                <w:b/>
              </w:rPr>
              <w:t xml:space="preserve">Provide </w:t>
            </w:r>
            <w:r>
              <w:rPr>
                <w:b/>
              </w:rPr>
              <w:t xml:space="preserve">administrative </w:t>
            </w:r>
            <w:r w:rsidRPr="00C0063A">
              <w:rPr>
                <w:b/>
              </w:rPr>
              <w:t>support</w:t>
            </w:r>
            <w:r>
              <w:t xml:space="preserve"> for </w:t>
            </w:r>
            <w:proofErr w:type="spellStart"/>
            <w:r>
              <w:t>eAssessment</w:t>
            </w:r>
            <w:proofErr w:type="spellEnd"/>
            <w:r>
              <w:t xml:space="preserve"> process </w:t>
            </w:r>
          </w:p>
          <w:p w14:paraId="13377768" w14:textId="77777777" w:rsidR="003744D5" w:rsidRDefault="003744D5" w:rsidP="00334E63">
            <w:r w:rsidRPr="0037747F">
              <w:rPr>
                <w:b/>
              </w:rPr>
              <w:t>Raise</w:t>
            </w:r>
            <w:r>
              <w:t xml:space="preserve"> any issues arising from operational matters related to the </w:t>
            </w:r>
            <w:proofErr w:type="spellStart"/>
            <w:r>
              <w:t>eAssessment</w:t>
            </w:r>
            <w:proofErr w:type="spellEnd"/>
            <w:r>
              <w:t xml:space="preserve"> with line manager for resolution</w:t>
            </w:r>
          </w:p>
          <w:p w14:paraId="6BAC5754" w14:textId="77777777" w:rsidR="00134962" w:rsidRDefault="00134962" w:rsidP="00334E63">
            <w:r w:rsidRPr="00134962">
              <w:rPr>
                <w:b/>
              </w:rPr>
              <w:t>Ensure</w:t>
            </w:r>
            <w:r>
              <w:t xml:space="preserve"> relevant equipped rooms and relevant technical support is scheduled for exams</w:t>
            </w:r>
          </w:p>
          <w:p w14:paraId="4D9F329E" w14:textId="77777777" w:rsidR="000014DE" w:rsidRDefault="000014DE" w:rsidP="000014DE">
            <w:r w:rsidRPr="0037747F">
              <w:rPr>
                <w:b/>
              </w:rPr>
              <w:t xml:space="preserve">Ensure </w:t>
            </w:r>
            <w:r>
              <w:t>that candidates have been provided with any required assistive technology</w:t>
            </w:r>
          </w:p>
          <w:p w14:paraId="77E93E84" w14:textId="77777777" w:rsidR="000014DE" w:rsidRDefault="000014DE" w:rsidP="000014DE">
            <w:r w:rsidRPr="0037747F">
              <w:rPr>
                <w:b/>
              </w:rPr>
              <w:t xml:space="preserve">Supervise </w:t>
            </w:r>
            <w:r w:rsidRPr="0037747F">
              <w:t>the</w:t>
            </w:r>
            <w:r>
              <w:t xml:space="preserve"> logging off/closure of the session in accordance with approved safety and security procedures</w:t>
            </w:r>
          </w:p>
          <w:p w14:paraId="20170E8C" w14:textId="6F65B009" w:rsidR="00B1263E" w:rsidRDefault="00B1263E" w:rsidP="000014DE"/>
        </w:tc>
      </w:tr>
      <w:tr w:rsidR="003744D5" w14:paraId="59A0BFFA" w14:textId="77777777" w:rsidTr="002A5C5E">
        <w:tc>
          <w:tcPr>
            <w:tcW w:w="1809" w:type="dxa"/>
            <w:shd w:val="clear" w:color="auto" w:fill="auto"/>
          </w:tcPr>
          <w:p w14:paraId="1FD08676" w14:textId="23406AA7" w:rsidR="003744D5" w:rsidRDefault="003744D5" w:rsidP="00334E63">
            <w:r>
              <w:rPr>
                <w:b/>
              </w:rPr>
              <w:t>Technical</w:t>
            </w:r>
          </w:p>
        </w:tc>
        <w:tc>
          <w:tcPr>
            <w:tcW w:w="2485" w:type="dxa"/>
            <w:shd w:val="clear" w:color="auto" w:fill="auto"/>
          </w:tcPr>
          <w:p w14:paraId="1A746FB3" w14:textId="77777777" w:rsidR="003744D5" w:rsidRDefault="003744D5" w:rsidP="00334E63">
            <w:r>
              <w:t xml:space="preserve">Information Services </w:t>
            </w:r>
          </w:p>
          <w:p w14:paraId="7FEDF55F" w14:textId="77777777" w:rsidR="00442CC6" w:rsidRDefault="00442CC6" w:rsidP="00334E63"/>
          <w:p w14:paraId="66EB4B6D" w14:textId="77777777" w:rsidR="00442CC6" w:rsidRDefault="00442CC6" w:rsidP="00334E63"/>
          <w:p w14:paraId="6BB96FA2" w14:textId="77777777" w:rsidR="00442CC6" w:rsidRDefault="00442CC6" w:rsidP="00334E63"/>
          <w:p w14:paraId="43FC8E4A" w14:textId="77777777" w:rsidR="00442CC6" w:rsidRDefault="00442CC6" w:rsidP="00334E63"/>
          <w:p w14:paraId="4AEB9136" w14:textId="77777777" w:rsidR="00442CC6" w:rsidRDefault="00442CC6" w:rsidP="00334E63"/>
          <w:p w14:paraId="4A2EA6C6" w14:textId="77777777" w:rsidR="00442CC6" w:rsidRDefault="00442CC6" w:rsidP="00334E63"/>
          <w:p w14:paraId="7AC0D1D1" w14:textId="77777777" w:rsidR="00442CC6" w:rsidRDefault="00442CC6" w:rsidP="00334E63"/>
          <w:p w14:paraId="523E419A" w14:textId="77777777" w:rsidR="00442CC6" w:rsidRDefault="00442CC6" w:rsidP="00334E63"/>
          <w:p w14:paraId="39678265" w14:textId="77777777" w:rsidR="00442CC6" w:rsidRDefault="00442CC6" w:rsidP="00334E63"/>
          <w:p w14:paraId="5302212D" w14:textId="77777777" w:rsidR="00442CC6" w:rsidRDefault="00442CC6" w:rsidP="00334E63"/>
          <w:p w14:paraId="13BF95F0" w14:textId="77777777" w:rsidR="00442CC6" w:rsidRDefault="00442CC6" w:rsidP="00334E63"/>
          <w:p w14:paraId="37E7E2D1" w14:textId="77777777" w:rsidR="00442CC6" w:rsidRDefault="00442CC6" w:rsidP="00334E63"/>
          <w:p w14:paraId="3D03C791" w14:textId="77777777" w:rsidR="00442CC6" w:rsidRDefault="00442CC6" w:rsidP="00334E63"/>
          <w:p w14:paraId="75EE255E" w14:textId="77777777" w:rsidR="00F84A0A" w:rsidRDefault="00F84A0A" w:rsidP="00334E63"/>
          <w:p w14:paraId="1DC30E53" w14:textId="6169A96B" w:rsidR="00442CC6" w:rsidRPr="001D7AD1" w:rsidRDefault="00442CC6" w:rsidP="00334E63"/>
        </w:tc>
        <w:tc>
          <w:tcPr>
            <w:tcW w:w="9848" w:type="dxa"/>
            <w:shd w:val="clear" w:color="auto" w:fill="auto"/>
          </w:tcPr>
          <w:p w14:paraId="5F093521" w14:textId="77777777" w:rsidR="003744D5" w:rsidRDefault="003744D5" w:rsidP="00334E63">
            <w:r w:rsidRPr="001D7AD1">
              <w:rPr>
                <w:b/>
              </w:rPr>
              <w:t>Overall responsibility for effective delivery and development of all technical aspects</w:t>
            </w:r>
            <w:r>
              <w:t xml:space="preserve"> of </w:t>
            </w:r>
            <w:proofErr w:type="spellStart"/>
            <w:r>
              <w:t>eAssessment</w:t>
            </w:r>
            <w:proofErr w:type="spellEnd"/>
            <w:r>
              <w:t xml:space="preserve"> including the secure desktop, software and hardware.</w:t>
            </w:r>
          </w:p>
          <w:p w14:paraId="7F482EEB" w14:textId="77777777" w:rsidR="003744D5" w:rsidRDefault="003744D5" w:rsidP="00334E63">
            <w:r w:rsidRPr="001D7AD1">
              <w:rPr>
                <w:b/>
              </w:rPr>
              <w:t xml:space="preserve">Providing technical support </w:t>
            </w:r>
            <w:r>
              <w:t xml:space="preserve">for setting up the </w:t>
            </w:r>
            <w:proofErr w:type="spellStart"/>
            <w:r>
              <w:t>eAssessment</w:t>
            </w:r>
            <w:proofErr w:type="spellEnd"/>
            <w:r w:rsidRPr="0037747F">
              <w:t xml:space="preserve"> location</w:t>
            </w:r>
            <w:r>
              <w:t xml:space="preserve">, at a University Campus including the </w:t>
            </w:r>
            <w:r w:rsidRPr="001D7AD1">
              <w:rPr>
                <w:b/>
              </w:rPr>
              <w:t>identification and use of appropriate equipment and applications</w:t>
            </w:r>
            <w:r>
              <w:t xml:space="preserve"> to meet specific </w:t>
            </w:r>
            <w:proofErr w:type="spellStart"/>
            <w:r>
              <w:t>eAssessment</w:t>
            </w:r>
            <w:proofErr w:type="spellEnd"/>
            <w:r>
              <w:t xml:space="preserve"> and learning needs</w:t>
            </w:r>
          </w:p>
          <w:p w14:paraId="0F3CD7D9" w14:textId="77777777" w:rsidR="003744D5" w:rsidRDefault="003744D5" w:rsidP="00334E63">
            <w:r w:rsidRPr="001D7AD1">
              <w:rPr>
                <w:b/>
              </w:rPr>
              <w:t>Ensuring that the environment and equipment is working correctly</w:t>
            </w:r>
            <w:r>
              <w:t xml:space="preserve"> for </w:t>
            </w:r>
            <w:proofErr w:type="spellStart"/>
            <w:r>
              <w:t>eAssessment</w:t>
            </w:r>
            <w:proofErr w:type="spellEnd"/>
            <w:r>
              <w:t xml:space="preserve"> sessions and </w:t>
            </w:r>
            <w:r>
              <w:rPr>
                <w:b/>
              </w:rPr>
              <w:t xml:space="preserve">providing </w:t>
            </w:r>
            <w:r w:rsidRPr="001D7AD1">
              <w:rPr>
                <w:b/>
              </w:rPr>
              <w:t>timely technical support</w:t>
            </w:r>
            <w:r>
              <w:t xml:space="preserve"> and first line problem resolution to staff invigilators and students as appropriate including advance notification of any workstation issues</w:t>
            </w:r>
          </w:p>
          <w:p w14:paraId="2C3157A8" w14:textId="77777777" w:rsidR="003744D5" w:rsidRDefault="003744D5" w:rsidP="00334E63">
            <w:r w:rsidRPr="001D7AD1">
              <w:rPr>
                <w:b/>
              </w:rPr>
              <w:t>Identify the appropriate hardware and software</w:t>
            </w:r>
            <w:r>
              <w:t xml:space="preserve"> required to enable the University to deliver the volume and type of </w:t>
            </w:r>
            <w:proofErr w:type="spellStart"/>
            <w:r>
              <w:t>eAssessment</w:t>
            </w:r>
            <w:proofErr w:type="spellEnd"/>
            <w:r>
              <w:t xml:space="preserve"> desired</w:t>
            </w:r>
          </w:p>
          <w:p w14:paraId="7BFC87DE" w14:textId="77777777" w:rsidR="003744D5" w:rsidRDefault="003744D5" w:rsidP="00334E63">
            <w:r w:rsidRPr="001D7AD1">
              <w:rPr>
                <w:b/>
              </w:rPr>
              <w:t>Assist other staff</w:t>
            </w:r>
            <w:r>
              <w:t xml:space="preserve"> in identifying the appropriate equipment and or applications required to meet specific requirements of students and tests</w:t>
            </w:r>
          </w:p>
          <w:p w14:paraId="4E9EB6AF" w14:textId="4D30C87E" w:rsidR="00442CC6" w:rsidRDefault="003744D5" w:rsidP="00442CC6">
            <w:pPr>
              <w:rPr>
                <w:b/>
              </w:rPr>
            </w:pPr>
            <w:r w:rsidRPr="00F6441F">
              <w:t>Working within agreed timescales</w:t>
            </w:r>
            <w:r>
              <w:rPr>
                <w:b/>
              </w:rPr>
              <w:t xml:space="preserve"> </w:t>
            </w:r>
            <w:r w:rsidR="00F84A0A">
              <w:rPr>
                <w:b/>
              </w:rPr>
              <w:t>a</w:t>
            </w:r>
            <w:r w:rsidRPr="001D7AD1">
              <w:rPr>
                <w:b/>
              </w:rPr>
              <w:t>ssist other staff</w:t>
            </w:r>
            <w:r w:rsidR="001B101F">
              <w:t xml:space="preserve"> to ensure readiness of the </w:t>
            </w:r>
            <w:proofErr w:type="spellStart"/>
            <w:r w:rsidR="001B101F">
              <w:t>eA</w:t>
            </w:r>
            <w:r>
              <w:t>ssessment</w:t>
            </w:r>
            <w:proofErr w:type="spellEnd"/>
            <w:r>
              <w:t xml:space="preserve"> location and equipment prior to an e assessment session</w:t>
            </w:r>
            <w:r w:rsidR="00442CC6" w:rsidRPr="0037747F">
              <w:rPr>
                <w:b/>
              </w:rPr>
              <w:t xml:space="preserve"> </w:t>
            </w:r>
          </w:p>
          <w:p w14:paraId="4A103DF8" w14:textId="77777777" w:rsidR="003744D5" w:rsidRDefault="00442CC6" w:rsidP="00334E63">
            <w:r w:rsidRPr="0037747F">
              <w:rPr>
                <w:b/>
              </w:rPr>
              <w:t>Ensure</w:t>
            </w:r>
            <w:r>
              <w:t xml:space="preserve"> that students </w:t>
            </w:r>
            <w:r w:rsidR="007B36BD">
              <w:t>with an LSP</w:t>
            </w:r>
            <w:r w:rsidR="00F84A0A">
              <w:t xml:space="preserve"> </w:t>
            </w:r>
            <w:r>
              <w:t>k</w:t>
            </w:r>
            <w:r w:rsidR="00F84A0A">
              <w:t>now how to use any equipment</w:t>
            </w:r>
            <w:r>
              <w:t xml:space="preserve"> or assistive technology</w:t>
            </w:r>
            <w:r w:rsidR="00B1263E">
              <w:t xml:space="preserve"> or specific software required for the </w:t>
            </w:r>
            <w:proofErr w:type="spellStart"/>
            <w:r w:rsidR="00B1263E">
              <w:t>eAssessment</w:t>
            </w:r>
            <w:proofErr w:type="spellEnd"/>
          </w:p>
          <w:p w14:paraId="21F54690" w14:textId="563CDCA3" w:rsidR="00B1263E" w:rsidRDefault="00B1263E" w:rsidP="00334E63"/>
        </w:tc>
      </w:tr>
      <w:tr w:rsidR="003744D5" w14:paraId="00139CF9" w14:textId="77777777" w:rsidTr="002A5C5E">
        <w:tc>
          <w:tcPr>
            <w:tcW w:w="1809" w:type="dxa"/>
            <w:shd w:val="clear" w:color="auto" w:fill="auto"/>
          </w:tcPr>
          <w:p w14:paraId="06F1C678" w14:textId="77777777" w:rsidR="003744D5" w:rsidRDefault="003744D5" w:rsidP="00334E63">
            <w:r>
              <w:rPr>
                <w:b/>
              </w:rPr>
              <w:t>Academic</w:t>
            </w:r>
          </w:p>
        </w:tc>
        <w:tc>
          <w:tcPr>
            <w:tcW w:w="2485" w:type="dxa"/>
            <w:shd w:val="clear" w:color="auto" w:fill="auto"/>
          </w:tcPr>
          <w:p w14:paraId="1E4A61F7" w14:textId="7056CFA5" w:rsidR="000F6E4A" w:rsidRDefault="000F6E4A" w:rsidP="00334E63">
            <w:r>
              <w:t>School</w:t>
            </w:r>
          </w:p>
          <w:p w14:paraId="269D01B2" w14:textId="77777777" w:rsidR="000F6E4A" w:rsidRDefault="000F6E4A" w:rsidP="00334E63"/>
          <w:p w14:paraId="214DB71B" w14:textId="77777777" w:rsidR="000F6E4A" w:rsidRDefault="000F6E4A" w:rsidP="00334E63"/>
          <w:p w14:paraId="3D76387D" w14:textId="77777777" w:rsidR="000F6E4A" w:rsidRDefault="000F6E4A" w:rsidP="00334E63"/>
          <w:p w14:paraId="0457AB9C" w14:textId="7F9F39AC" w:rsidR="00442CC6" w:rsidRDefault="00442CC6" w:rsidP="00334E63">
            <w:r>
              <w:t>Module leader</w:t>
            </w:r>
          </w:p>
        </w:tc>
        <w:tc>
          <w:tcPr>
            <w:tcW w:w="9848" w:type="dxa"/>
            <w:shd w:val="clear" w:color="auto" w:fill="auto"/>
          </w:tcPr>
          <w:p w14:paraId="27346B1F" w14:textId="1747BFC4" w:rsidR="000F6E4A" w:rsidRPr="000F6E4A" w:rsidRDefault="000F6E4A" w:rsidP="000F6E4A">
            <w:pPr>
              <w:rPr>
                <w:lang w:val="en-US" w:eastAsia="ja-JP"/>
              </w:rPr>
            </w:pPr>
            <w:r w:rsidRPr="000F6E4A">
              <w:rPr>
                <w:b/>
                <w:lang w:val="en-US" w:eastAsia="ja-JP"/>
              </w:rPr>
              <w:t>Approve all marking schemes</w:t>
            </w:r>
            <w:r w:rsidRPr="000F6E4A">
              <w:rPr>
                <w:lang w:val="en-US" w:eastAsia="ja-JP"/>
              </w:rPr>
              <w:t xml:space="preserve"> </w:t>
            </w:r>
            <w:r>
              <w:rPr>
                <w:lang w:val="en-US" w:eastAsia="ja-JP"/>
              </w:rPr>
              <w:t>that include variations on marking practice such as</w:t>
            </w:r>
            <w:r w:rsidRPr="000F6E4A">
              <w:rPr>
                <w:lang w:val="en-US" w:eastAsia="ja-JP"/>
              </w:rPr>
              <w:t xml:space="preserve"> negative marking or compensation for baseline guess.  Details of how these marking schemes are applied must be made clear to the students before the examination.</w:t>
            </w:r>
          </w:p>
          <w:p w14:paraId="4D68DFCE" w14:textId="77777777" w:rsidR="000F6E4A" w:rsidRDefault="000F6E4A" w:rsidP="00334E63">
            <w:pPr>
              <w:rPr>
                <w:b/>
              </w:rPr>
            </w:pPr>
          </w:p>
          <w:p w14:paraId="325F341F" w14:textId="77777777" w:rsidR="003744D5" w:rsidRDefault="003744D5" w:rsidP="00334E63">
            <w:pPr>
              <w:rPr>
                <w:b/>
              </w:rPr>
            </w:pPr>
            <w:r>
              <w:rPr>
                <w:b/>
              </w:rPr>
              <w:t xml:space="preserve">Work within agreed timescales </w:t>
            </w:r>
            <w:r w:rsidRPr="00442CC6">
              <w:t xml:space="preserve">to create and test </w:t>
            </w:r>
            <w:proofErr w:type="spellStart"/>
            <w:r w:rsidRPr="00442CC6">
              <w:t>eAssessments</w:t>
            </w:r>
            <w:proofErr w:type="spellEnd"/>
            <w:r w:rsidRPr="00442CC6">
              <w:t xml:space="preserve"> with support of IS.</w:t>
            </w:r>
          </w:p>
          <w:p w14:paraId="095F68CD" w14:textId="2A3319A2" w:rsidR="003744D5" w:rsidRDefault="003744D5" w:rsidP="00334E63">
            <w:r w:rsidRPr="0037747F">
              <w:rPr>
                <w:b/>
              </w:rPr>
              <w:lastRenderedPageBreak/>
              <w:t xml:space="preserve">Understand </w:t>
            </w:r>
            <w:r>
              <w:t xml:space="preserve">the </w:t>
            </w:r>
            <w:proofErr w:type="spellStart"/>
            <w:r>
              <w:t>eAssessment</w:t>
            </w:r>
            <w:proofErr w:type="spellEnd"/>
            <w:r>
              <w:t xml:space="preserve"> environment and equipment and</w:t>
            </w:r>
            <w:r w:rsidR="000F6E4A">
              <w:t xml:space="preserve"> how it can be adapted to meet s</w:t>
            </w:r>
            <w:r>
              <w:t>tudents</w:t>
            </w:r>
            <w:r w:rsidR="000F6E4A">
              <w:t>’</w:t>
            </w:r>
            <w:r>
              <w:t xml:space="preserve"> needs</w:t>
            </w:r>
          </w:p>
          <w:p w14:paraId="7FAA9867" w14:textId="44D4483B" w:rsidR="00C673ED" w:rsidRDefault="00C673ED" w:rsidP="00334E63">
            <w:r w:rsidRPr="00C673ED">
              <w:rPr>
                <w:b/>
              </w:rPr>
              <w:t>Ensure</w:t>
            </w:r>
            <w:r>
              <w:t xml:space="preserve"> contingency plans are in place in the event of technical failure – e.g. ensuring either there is timetabling capacity to reschedule and exam or ensuring paper backups are available</w:t>
            </w:r>
          </w:p>
          <w:p w14:paraId="2C44244A" w14:textId="77777777" w:rsidR="003744D5" w:rsidRDefault="003744D5" w:rsidP="00334E63">
            <w:r w:rsidRPr="0037747F">
              <w:rPr>
                <w:b/>
              </w:rPr>
              <w:t>Provide students with information</w:t>
            </w:r>
            <w:r>
              <w:t xml:space="preserve"> and guidance relating to </w:t>
            </w:r>
            <w:proofErr w:type="spellStart"/>
            <w:r>
              <w:t>eAssessment</w:t>
            </w:r>
            <w:proofErr w:type="spellEnd"/>
          </w:p>
          <w:p w14:paraId="36946DD0" w14:textId="4336F9F9" w:rsidR="000F6E4A" w:rsidRDefault="000F6E4A" w:rsidP="00334E63">
            <w:r w:rsidRPr="00C673ED">
              <w:rPr>
                <w:b/>
              </w:rPr>
              <w:t>Provide students</w:t>
            </w:r>
            <w:r>
              <w:t xml:space="preserve"> with the opportunity to familiarise themselves with the </w:t>
            </w:r>
            <w:proofErr w:type="spellStart"/>
            <w:r>
              <w:t>eAssessment</w:t>
            </w:r>
            <w:proofErr w:type="spellEnd"/>
            <w:r>
              <w:t xml:space="preserve"> format, type of questions and technology before the summative assessment. </w:t>
            </w:r>
          </w:p>
          <w:p w14:paraId="2142F018" w14:textId="77777777" w:rsidR="003744D5" w:rsidRDefault="003744D5" w:rsidP="000F6E4A">
            <w:r w:rsidRPr="0037747F">
              <w:rPr>
                <w:b/>
              </w:rPr>
              <w:t>Ensure</w:t>
            </w:r>
            <w:r>
              <w:t xml:space="preserve"> that students are aware of any security arrangements and </w:t>
            </w:r>
            <w:r w:rsidR="000F6E4A">
              <w:t xml:space="preserve">any contingency </w:t>
            </w:r>
            <w:r>
              <w:t xml:space="preserve">procedures </w:t>
            </w:r>
            <w:r w:rsidR="000F6E4A">
              <w:t>including those relating to technical failure</w:t>
            </w:r>
          </w:p>
          <w:p w14:paraId="08E93F39" w14:textId="77777777" w:rsidR="007B36BD" w:rsidRDefault="007B36BD" w:rsidP="007B36BD">
            <w:r w:rsidRPr="0037747F">
              <w:rPr>
                <w:b/>
              </w:rPr>
              <w:t>Report and document</w:t>
            </w:r>
            <w:r>
              <w:t xml:space="preserve"> any emergencies, technical failures and irregularities and ensure that these are resolved appropriately for the candidate</w:t>
            </w:r>
          </w:p>
          <w:p w14:paraId="6B8C4A84" w14:textId="2CB3DB4A" w:rsidR="00C673ED" w:rsidRDefault="007B36BD" w:rsidP="00C673ED">
            <w:r w:rsidRPr="007B36BD">
              <w:rPr>
                <w:b/>
              </w:rPr>
              <w:t>Ensure</w:t>
            </w:r>
            <w:r>
              <w:t xml:space="preserve"> that they are aware of any potential opportunities for academic misconduct within the </w:t>
            </w:r>
            <w:proofErr w:type="spellStart"/>
            <w:r>
              <w:t>eAssessment</w:t>
            </w:r>
            <w:proofErr w:type="spellEnd"/>
          </w:p>
        </w:tc>
      </w:tr>
    </w:tbl>
    <w:p w14:paraId="29857439" w14:textId="37DF8EE9" w:rsidR="006C701C" w:rsidRDefault="006C701C" w:rsidP="003744D5"/>
    <w:p w14:paraId="167A5FA8" w14:textId="77777777" w:rsidR="006C701C" w:rsidRDefault="006C701C">
      <w:r>
        <w:br w:type="page"/>
      </w:r>
    </w:p>
    <w:p w14:paraId="696D095D" w14:textId="246CD6CD" w:rsidR="006F65D4" w:rsidRPr="00223E9B" w:rsidRDefault="006C701C" w:rsidP="006F65D4">
      <w:pPr>
        <w:pStyle w:val="Heading2"/>
        <w:jc w:val="center"/>
        <w:rPr>
          <w:szCs w:val="22"/>
        </w:rPr>
      </w:pPr>
      <w:r w:rsidRPr="004279DF">
        <w:lastRenderedPageBreak/>
        <w:t>Timeline</w:t>
      </w:r>
      <w:r w:rsidR="00447CEE">
        <w:t xml:space="preserve"> for M</w:t>
      </w:r>
      <w:r w:rsidR="006F65D4">
        <w:t xml:space="preserve">anaging </w:t>
      </w:r>
      <w:r w:rsidR="006F65D4">
        <w:rPr>
          <w:szCs w:val="22"/>
        </w:rPr>
        <w:t xml:space="preserve">Summative </w:t>
      </w:r>
      <w:proofErr w:type="spellStart"/>
      <w:r w:rsidR="006F65D4" w:rsidRPr="00223E9B">
        <w:rPr>
          <w:szCs w:val="22"/>
        </w:rPr>
        <w:t>eA</w:t>
      </w:r>
      <w:r w:rsidR="006F65D4">
        <w:rPr>
          <w:szCs w:val="22"/>
        </w:rPr>
        <w:t>ssessment</w:t>
      </w:r>
      <w:proofErr w:type="spellEnd"/>
      <w:r w:rsidR="006F65D4">
        <w:rPr>
          <w:szCs w:val="22"/>
        </w:rPr>
        <w:t xml:space="preserve"> for Electronic Examinations</w:t>
      </w:r>
    </w:p>
    <w:p w14:paraId="53B1D863" w14:textId="77777777" w:rsidR="006C701C" w:rsidRPr="004279DF" w:rsidRDefault="006C701C" w:rsidP="006C701C">
      <w:pPr>
        <w:rPr>
          <w:b/>
          <w:bCs/>
        </w:rPr>
      </w:pPr>
    </w:p>
    <w:p w14:paraId="68C71F09" w14:textId="77777777" w:rsidR="006C701C" w:rsidRDefault="006C701C" w:rsidP="006C701C">
      <w:r>
        <w:t xml:space="preserve">If the </w:t>
      </w:r>
      <w:proofErr w:type="spellStart"/>
      <w:r>
        <w:t>eAssessment</w:t>
      </w:r>
      <w:proofErr w:type="spellEnd"/>
      <w:r>
        <w:t xml:space="preserve"> will take place in the official exam period it needs to be managed by exam timetabling, and therefore these instructions should be read in conjunction with their guidelines. Otherwise you will have to ensure there are no clashes for your students. All summative </w:t>
      </w:r>
      <w:proofErr w:type="spellStart"/>
      <w:r>
        <w:t>eAssessment</w:t>
      </w:r>
      <w:proofErr w:type="spellEnd"/>
      <w:r>
        <w:t xml:space="preserve"> must take place at the university.</w:t>
      </w:r>
    </w:p>
    <w:p w14:paraId="1A052119" w14:textId="40C66160" w:rsidR="000768EC" w:rsidRDefault="000768EC" w:rsidP="006C701C"/>
    <w:p w14:paraId="2D2A09CA" w14:textId="107F3D44" w:rsidR="000768EC" w:rsidRPr="000768EC" w:rsidRDefault="000768EC" w:rsidP="000768EC">
      <w:pPr>
        <w:jc w:val="center"/>
        <w:rPr>
          <w:b/>
        </w:rPr>
      </w:pPr>
      <w:r w:rsidRPr="000768EC">
        <w:rPr>
          <w:b/>
        </w:rPr>
        <w:t>Ensure you allow sufficient time to compl</w:t>
      </w:r>
      <w:r>
        <w:rPr>
          <w:b/>
        </w:rPr>
        <w:t>e</w:t>
      </w:r>
      <w:r w:rsidRPr="000768EC">
        <w:rPr>
          <w:b/>
        </w:rPr>
        <w:t>te each of the preparatory st</w:t>
      </w:r>
      <w:r>
        <w:rPr>
          <w:b/>
        </w:rPr>
        <w:t>eps</w:t>
      </w:r>
    </w:p>
    <w:p w14:paraId="39FE8AA4" w14:textId="77777777" w:rsidR="006C701C" w:rsidRDefault="006C701C" w:rsidP="006C701C"/>
    <w:tbl>
      <w:tblPr>
        <w:tblStyle w:val="TableGrid"/>
        <w:tblW w:w="12724" w:type="dxa"/>
        <w:tblLook w:val="04A0" w:firstRow="1" w:lastRow="0" w:firstColumn="1" w:lastColumn="0" w:noHBand="0" w:noVBand="1"/>
      </w:tblPr>
      <w:tblGrid>
        <w:gridCol w:w="1635"/>
        <w:gridCol w:w="11089"/>
      </w:tblGrid>
      <w:tr w:rsidR="009008FF" w14:paraId="3B70C321" w14:textId="77777777" w:rsidTr="000B7DD4">
        <w:trPr>
          <w:trHeight w:val="1771"/>
        </w:trPr>
        <w:tc>
          <w:tcPr>
            <w:tcW w:w="1635" w:type="dxa"/>
          </w:tcPr>
          <w:p w14:paraId="57005752" w14:textId="0C48FC74" w:rsidR="000768EC" w:rsidRDefault="000768EC" w:rsidP="003402BC">
            <w:pPr>
              <w:rPr>
                <w:b/>
              </w:rPr>
            </w:pPr>
            <w:r>
              <w:rPr>
                <w:b/>
              </w:rPr>
              <w:t>Step 1</w:t>
            </w:r>
          </w:p>
          <w:p w14:paraId="77369FD1" w14:textId="77777777" w:rsidR="000768EC" w:rsidRDefault="000768EC" w:rsidP="003402BC">
            <w:pPr>
              <w:rPr>
                <w:b/>
              </w:rPr>
            </w:pPr>
          </w:p>
          <w:p w14:paraId="6E134AE6" w14:textId="1D35BDCF" w:rsidR="009008FF" w:rsidRDefault="000768EC" w:rsidP="003402BC">
            <w:r>
              <w:rPr>
                <w:b/>
              </w:rPr>
              <w:t>P</w:t>
            </w:r>
            <w:r w:rsidR="00573398">
              <w:rPr>
                <w:b/>
              </w:rPr>
              <w:t>lanning the assessment</w:t>
            </w:r>
          </w:p>
        </w:tc>
        <w:tc>
          <w:tcPr>
            <w:tcW w:w="11089" w:type="dxa"/>
          </w:tcPr>
          <w:p w14:paraId="752D41C7" w14:textId="77777777" w:rsidR="009008FF" w:rsidRPr="00BF45CA" w:rsidRDefault="009008FF" w:rsidP="003402BC">
            <w:r w:rsidRPr="00BF45CA">
              <w:t xml:space="preserve">Consider how many questions would be appropriate to the learning objectives and the weighting of the assessment, and how long would be needed for students to take the assessment. </w:t>
            </w:r>
          </w:p>
          <w:p w14:paraId="7C213F09" w14:textId="77777777" w:rsidR="009008FF" w:rsidRPr="00BF45CA" w:rsidRDefault="009008FF" w:rsidP="003402BC">
            <w:r w:rsidRPr="00BF45CA">
              <w:t>When making the room booking allow time to set up and for students to leave, for example half an hour before and after</w:t>
            </w:r>
          </w:p>
          <w:p w14:paraId="227C2E2A" w14:textId="77777777" w:rsidR="009008FF" w:rsidRPr="00BF45CA" w:rsidRDefault="009008FF" w:rsidP="003402BC">
            <w:r w:rsidRPr="00BF45CA">
              <w:t xml:space="preserve">If you need to have 2 sittings consider how this will be organised – e.g. by booking an adjacent room to keep the 2 sittings separate </w:t>
            </w:r>
          </w:p>
          <w:p w14:paraId="5D189184" w14:textId="702ACD1D" w:rsidR="009008FF" w:rsidRPr="00BF45CA" w:rsidRDefault="000B7DD4" w:rsidP="003402BC">
            <w:r w:rsidRPr="00BF45CA">
              <w:t xml:space="preserve">Consider how students with </w:t>
            </w:r>
            <w:r w:rsidR="009008FF" w:rsidRPr="00BF45CA">
              <w:t>L</w:t>
            </w:r>
            <w:r w:rsidR="000738BB" w:rsidRPr="00BF45CA">
              <w:t>S</w:t>
            </w:r>
            <w:r w:rsidR="009008FF" w:rsidRPr="00BF45CA">
              <w:t>Ps who need variations on assessments will be assessed</w:t>
            </w:r>
          </w:p>
          <w:p w14:paraId="5FBCD5BB" w14:textId="77777777" w:rsidR="009008FF" w:rsidRPr="00BF45CA" w:rsidRDefault="00BF45CA" w:rsidP="003402BC">
            <w:r w:rsidRPr="00BF45CA">
              <w:rPr>
                <w:lang w:val="en-US" w:eastAsia="ja-JP"/>
              </w:rPr>
              <w:t>Liaison with the relevant external examiners </w:t>
            </w:r>
          </w:p>
          <w:p w14:paraId="6441629B" w14:textId="15A46B80" w:rsidR="00BF45CA" w:rsidRPr="00BF45CA" w:rsidRDefault="00BF45CA" w:rsidP="003402BC"/>
        </w:tc>
      </w:tr>
      <w:tr w:rsidR="009008FF" w14:paraId="35824F5E" w14:textId="77777777" w:rsidTr="000B7DD4">
        <w:trPr>
          <w:trHeight w:val="2277"/>
        </w:trPr>
        <w:tc>
          <w:tcPr>
            <w:tcW w:w="1635" w:type="dxa"/>
          </w:tcPr>
          <w:p w14:paraId="7F656CEF" w14:textId="77777777" w:rsidR="000768EC" w:rsidRDefault="000768EC" w:rsidP="000768EC">
            <w:pPr>
              <w:rPr>
                <w:b/>
              </w:rPr>
            </w:pPr>
            <w:r>
              <w:rPr>
                <w:b/>
              </w:rPr>
              <w:t>Step 2</w:t>
            </w:r>
          </w:p>
          <w:p w14:paraId="353C2227" w14:textId="77777777" w:rsidR="000768EC" w:rsidRDefault="000768EC" w:rsidP="000768EC">
            <w:pPr>
              <w:rPr>
                <w:b/>
              </w:rPr>
            </w:pPr>
          </w:p>
          <w:p w14:paraId="1AEBE2A8" w14:textId="23FE1EEF" w:rsidR="009008FF" w:rsidRPr="0020343A" w:rsidRDefault="000768EC" w:rsidP="000768EC">
            <w:pPr>
              <w:rPr>
                <w:b/>
              </w:rPr>
            </w:pPr>
            <w:r>
              <w:rPr>
                <w:b/>
              </w:rPr>
              <w:t>Confirming t</w:t>
            </w:r>
            <w:r w:rsidR="00BF45CA">
              <w:rPr>
                <w:b/>
              </w:rPr>
              <w:t>he questions and operational re</w:t>
            </w:r>
            <w:r>
              <w:rPr>
                <w:b/>
              </w:rPr>
              <w:t>quirements</w:t>
            </w:r>
          </w:p>
        </w:tc>
        <w:tc>
          <w:tcPr>
            <w:tcW w:w="11089" w:type="dxa"/>
          </w:tcPr>
          <w:p w14:paraId="2260B6D0" w14:textId="77777777" w:rsidR="009008FF" w:rsidRDefault="009008FF" w:rsidP="003402BC">
            <w:r w:rsidRPr="002A5C5E">
              <w:t>Develop</w:t>
            </w:r>
            <w:r>
              <w:t xml:space="preserve"> the draft assessment questions</w:t>
            </w:r>
            <w:r w:rsidRPr="002A5C5E">
              <w:t xml:space="preserve"> and feedback if you are giving any. Write marking criteria</w:t>
            </w:r>
            <w:r>
              <w:t xml:space="preserve"> for any free answer questions.</w:t>
            </w:r>
          </w:p>
          <w:p w14:paraId="4D156E8E" w14:textId="6173B12E" w:rsidR="000768EC" w:rsidRDefault="000768EC" w:rsidP="003402BC">
            <w:r>
              <w:t xml:space="preserve">Obtain internal moderation of the draft questions, and the view of the external examiner on the internally agreed drafts (see: </w:t>
            </w:r>
            <w:hyperlink r:id="rId13" w:history="1">
              <w:r w:rsidRPr="000768EC">
                <w:rPr>
                  <w:rStyle w:val="Hyperlink"/>
                </w:rPr>
                <w:t>University guidelines for the moderation of summative assessments</w:t>
              </w:r>
            </w:hyperlink>
            <w:r>
              <w:rPr>
                <w:rStyle w:val="FootnoteReference"/>
              </w:rPr>
              <w:footnoteReference w:id="1"/>
            </w:r>
            <w:r>
              <w:t>)</w:t>
            </w:r>
          </w:p>
          <w:p w14:paraId="4856CAD5" w14:textId="77777777" w:rsidR="009008FF" w:rsidRDefault="009008FF" w:rsidP="003402BC">
            <w:bookmarkStart w:id="0" w:name="_GoBack"/>
            <w:bookmarkEnd w:id="0"/>
            <w:r>
              <w:t>In consultation with your LTA de</w:t>
            </w:r>
            <w:r w:rsidRPr="002A5C5E">
              <w:t xml:space="preserve">cide on the best platform for your type of </w:t>
            </w:r>
            <w:proofErr w:type="spellStart"/>
            <w:r w:rsidRPr="002A5C5E">
              <w:t>eAssessment</w:t>
            </w:r>
            <w:proofErr w:type="spellEnd"/>
            <w:r>
              <w:t xml:space="preserve"> and e</w:t>
            </w:r>
            <w:r w:rsidRPr="002A5C5E">
              <w:t xml:space="preserve">nter your questions </w:t>
            </w:r>
          </w:p>
          <w:p w14:paraId="44B027E4" w14:textId="77777777" w:rsidR="009008FF" w:rsidRPr="002A5C5E" w:rsidRDefault="009008FF" w:rsidP="003402BC">
            <w:r>
              <w:t xml:space="preserve">Ask a colleague to check </w:t>
            </w:r>
            <w:r w:rsidRPr="002A5C5E">
              <w:t>the technology, the content of the quest</w:t>
            </w:r>
            <w:r>
              <w:t xml:space="preserve">ions and the automated feedback, </w:t>
            </w:r>
            <w:r w:rsidRPr="002A5C5E">
              <w:t xml:space="preserve">especially </w:t>
            </w:r>
            <w:r>
              <w:t>for</w:t>
            </w:r>
            <w:r w:rsidRPr="002A5C5E">
              <w:t xml:space="preserve"> </w:t>
            </w:r>
            <w:r>
              <w:t>multiple choice (MCQs)</w:t>
            </w:r>
            <w:r w:rsidRPr="002A5C5E">
              <w:t xml:space="preserve">. </w:t>
            </w:r>
            <w:r>
              <w:t>A</w:t>
            </w:r>
            <w:r w:rsidRPr="002A5C5E">
              <w:t xml:space="preserve">dvice on developing MCQs is available here [link] </w:t>
            </w:r>
          </w:p>
          <w:p w14:paraId="34F73FDA" w14:textId="77777777" w:rsidR="009008FF" w:rsidRPr="002A5C5E" w:rsidRDefault="009008FF" w:rsidP="003402BC">
            <w:r w:rsidRPr="002A5C5E">
              <w:t>Decide when and how you are going to release marks and feedback to students</w:t>
            </w:r>
          </w:p>
          <w:p w14:paraId="0C5968DD" w14:textId="77777777" w:rsidR="009008FF" w:rsidRPr="002A5C5E" w:rsidRDefault="009008FF" w:rsidP="003402BC">
            <w:r w:rsidRPr="002A5C5E">
              <w:t xml:space="preserve">Inform students about the </w:t>
            </w:r>
            <w:proofErr w:type="spellStart"/>
            <w:r w:rsidRPr="002A5C5E">
              <w:t>eAssessment</w:t>
            </w:r>
            <w:proofErr w:type="spellEnd"/>
            <w:r w:rsidRPr="002A5C5E">
              <w:t xml:space="preserve">, and work through any assessment criteria with them. </w:t>
            </w:r>
          </w:p>
          <w:p w14:paraId="7EC3B84D" w14:textId="621A3499" w:rsidR="009008FF" w:rsidRDefault="009008FF" w:rsidP="003402BC"/>
        </w:tc>
      </w:tr>
      <w:tr w:rsidR="009008FF" w14:paraId="6FF9E342" w14:textId="77777777" w:rsidTr="000B7DD4">
        <w:trPr>
          <w:trHeight w:val="1022"/>
        </w:trPr>
        <w:tc>
          <w:tcPr>
            <w:tcW w:w="1635" w:type="dxa"/>
          </w:tcPr>
          <w:p w14:paraId="2E611897" w14:textId="66A8331B" w:rsidR="000768EC" w:rsidRDefault="000768EC" w:rsidP="003402BC">
            <w:pPr>
              <w:rPr>
                <w:b/>
              </w:rPr>
            </w:pPr>
            <w:r>
              <w:rPr>
                <w:b/>
              </w:rPr>
              <w:t>Step 3</w:t>
            </w:r>
          </w:p>
          <w:p w14:paraId="07FC8BC6" w14:textId="77777777" w:rsidR="009008FF" w:rsidRPr="00DB008E" w:rsidRDefault="009008FF" w:rsidP="003402BC">
            <w:pPr>
              <w:rPr>
                <w:b/>
              </w:rPr>
            </w:pPr>
            <w:r w:rsidRPr="00DB008E">
              <w:rPr>
                <w:b/>
              </w:rPr>
              <w:t>1 month in advance</w:t>
            </w:r>
          </w:p>
          <w:p w14:paraId="7E8AD27D" w14:textId="77777777" w:rsidR="009008FF" w:rsidRDefault="009008FF" w:rsidP="003402BC"/>
        </w:tc>
        <w:tc>
          <w:tcPr>
            <w:tcW w:w="11089" w:type="dxa"/>
          </w:tcPr>
          <w:p w14:paraId="2EBA0204" w14:textId="77777777" w:rsidR="009008FF" w:rsidRPr="0020343A" w:rsidRDefault="009008FF" w:rsidP="003402BC">
            <w:r>
              <w:t xml:space="preserve">Deadline to inform IS about a summative </w:t>
            </w:r>
            <w:proofErr w:type="spellStart"/>
            <w:r>
              <w:t>eAssessment</w:t>
            </w:r>
            <w:proofErr w:type="spellEnd"/>
            <w:r>
              <w:t xml:space="preserve"> </w:t>
            </w:r>
          </w:p>
          <w:p w14:paraId="3E691603" w14:textId="77777777" w:rsidR="009008FF" w:rsidRPr="0020343A" w:rsidRDefault="009008FF" w:rsidP="003402BC">
            <w:r w:rsidRPr="0020343A">
              <w:t>Respond to any queries from IS</w:t>
            </w:r>
            <w:r>
              <w:t xml:space="preserve"> and g</w:t>
            </w:r>
            <w:r w:rsidRPr="0020343A">
              <w:t>ive students a formative assessment in the platform so they are familiar with it </w:t>
            </w:r>
          </w:p>
          <w:p w14:paraId="30EC2FFE" w14:textId="77777777" w:rsidR="009008FF" w:rsidRDefault="009008FF" w:rsidP="003402BC"/>
        </w:tc>
      </w:tr>
      <w:tr w:rsidR="009008FF" w14:paraId="5A998A81" w14:textId="77777777" w:rsidTr="009008FF">
        <w:trPr>
          <w:trHeight w:val="1266"/>
        </w:trPr>
        <w:tc>
          <w:tcPr>
            <w:tcW w:w="1635" w:type="dxa"/>
          </w:tcPr>
          <w:p w14:paraId="5DBD81ED" w14:textId="11C9AC1E" w:rsidR="000768EC" w:rsidRDefault="000768EC" w:rsidP="003402BC">
            <w:pPr>
              <w:rPr>
                <w:b/>
              </w:rPr>
            </w:pPr>
            <w:r>
              <w:rPr>
                <w:b/>
              </w:rPr>
              <w:lastRenderedPageBreak/>
              <w:t>Step 4</w:t>
            </w:r>
          </w:p>
          <w:p w14:paraId="75DEBA54" w14:textId="77777777" w:rsidR="009008FF" w:rsidRPr="006A2592" w:rsidRDefault="009008FF" w:rsidP="003402BC">
            <w:pPr>
              <w:rPr>
                <w:b/>
              </w:rPr>
            </w:pPr>
            <w:r w:rsidRPr="006A2592">
              <w:rPr>
                <w:b/>
              </w:rPr>
              <w:t>1 week in advance</w:t>
            </w:r>
          </w:p>
          <w:p w14:paraId="7C9F3228" w14:textId="77777777" w:rsidR="009008FF" w:rsidRDefault="009008FF" w:rsidP="003402BC"/>
        </w:tc>
        <w:tc>
          <w:tcPr>
            <w:tcW w:w="11089" w:type="dxa"/>
          </w:tcPr>
          <w:p w14:paraId="02541C4D" w14:textId="77777777" w:rsidR="009008FF" w:rsidRPr="0020343A" w:rsidRDefault="009008FF" w:rsidP="003402BC">
            <w:r>
              <w:t>Create a disaster plan (e.g. technical failure, fire alarm)</w:t>
            </w:r>
            <w:r w:rsidRPr="0020343A">
              <w:t xml:space="preserve"> in conjunctio</w:t>
            </w:r>
            <w:r>
              <w:t xml:space="preserve">n with IS and any invigilators. </w:t>
            </w:r>
            <w:r w:rsidRPr="0020343A">
              <w:t>Share this information with students</w:t>
            </w:r>
            <w:r>
              <w:t>.</w:t>
            </w:r>
          </w:p>
          <w:p w14:paraId="170213F1" w14:textId="77777777" w:rsidR="009008FF" w:rsidRPr="0020343A" w:rsidRDefault="009008FF" w:rsidP="003402BC">
            <w:r w:rsidRPr="0020343A">
              <w:t xml:space="preserve">You and any invigilators will be briefed by IS on the potential for academic misconduct during the </w:t>
            </w:r>
            <w:proofErr w:type="spellStart"/>
            <w:r w:rsidRPr="0020343A">
              <w:t>eAssessment</w:t>
            </w:r>
            <w:proofErr w:type="spellEnd"/>
            <w:r w:rsidRPr="0020343A">
              <w:t>.</w:t>
            </w:r>
          </w:p>
          <w:p w14:paraId="6FCE5B82" w14:textId="17F6D44A" w:rsidR="009008FF" w:rsidRDefault="009008FF" w:rsidP="003402BC">
            <w:r w:rsidRPr="0020343A">
              <w:t>Prepare materials for worst case scenarios e.g. paper copies</w:t>
            </w:r>
            <w:r>
              <w:t xml:space="preserve"> of the </w:t>
            </w:r>
            <w:proofErr w:type="spellStart"/>
            <w:r>
              <w:t>eAssessment</w:t>
            </w:r>
            <w:proofErr w:type="spellEnd"/>
            <w:r>
              <w:t xml:space="preserve"> </w:t>
            </w:r>
          </w:p>
        </w:tc>
      </w:tr>
      <w:tr w:rsidR="009008FF" w14:paraId="0B996DB8" w14:textId="77777777" w:rsidTr="000B7DD4">
        <w:trPr>
          <w:trHeight w:val="1012"/>
        </w:trPr>
        <w:tc>
          <w:tcPr>
            <w:tcW w:w="1635" w:type="dxa"/>
          </w:tcPr>
          <w:p w14:paraId="00DCB054" w14:textId="18932DB4" w:rsidR="000768EC" w:rsidRDefault="000768EC" w:rsidP="003402BC">
            <w:pPr>
              <w:rPr>
                <w:b/>
              </w:rPr>
            </w:pPr>
            <w:r>
              <w:rPr>
                <w:b/>
              </w:rPr>
              <w:t>Step 5</w:t>
            </w:r>
          </w:p>
          <w:p w14:paraId="2AFF07C6" w14:textId="77777777" w:rsidR="009008FF" w:rsidRPr="00B21797" w:rsidRDefault="009008FF" w:rsidP="003402BC">
            <w:pPr>
              <w:rPr>
                <w:b/>
              </w:rPr>
            </w:pPr>
            <w:r w:rsidRPr="00B21797">
              <w:rPr>
                <w:b/>
              </w:rPr>
              <w:t>On the day</w:t>
            </w:r>
          </w:p>
          <w:p w14:paraId="14DA0D2D" w14:textId="77777777" w:rsidR="009008FF" w:rsidRDefault="009008FF" w:rsidP="003402BC"/>
        </w:tc>
        <w:tc>
          <w:tcPr>
            <w:tcW w:w="11089" w:type="dxa"/>
          </w:tcPr>
          <w:p w14:paraId="0C382D73" w14:textId="77777777" w:rsidR="009008FF" w:rsidRPr="00552661" w:rsidRDefault="009008FF" w:rsidP="003402BC">
            <w:r w:rsidRPr="00552661">
              <w:t>Depending on the level of support being given by your LTA, you may need a mobile phone and their mobile number to contact them</w:t>
            </w:r>
            <w:r>
              <w:t>.</w:t>
            </w:r>
          </w:p>
          <w:p w14:paraId="62344DCC" w14:textId="77777777" w:rsidR="009008FF" w:rsidRDefault="009008FF" w:rsidP="000738BB"/>
        </w:tc>
      </w:tr>
      <w:tr w:rsidR="009008FF" w14:paraId="6FB649F9" w14:textId="77777777" w:rsidTr="000B7DD4">
        <w:trPr>
          <w:trHeight w:val="1032"/>
        </w:trPr>
        <w:tc>
          <w:tcPr>
            <w:tcW w:w="1635" w:type="dxa"/>
          </w:tcPr>
          <w:p w14:paraId="614D1AB2" w14:textId="7BEA1384" w:rsidR="000768EC" w:rsidRDefault="000768EC" w:rsidP="003402BC">
            <w:pPr>
              <w:rPr>
                <w:b/>
              </w:rPr>
            </w:pPr>
            <w:r>
              <w:rPr>
                <w:b/>
              </w:rPr>
              <w:t>Step 6</w:t>
            </w:r>
          </w:p>
          <w:p w14:paraId="27677207" w14:textId="77777777" w:rsidR="009008FF" w:rsidRPr="00B21797" w:rsidRDefault="009008FF" w:rsidP="003402BC">
            <w:pPr>
              <w:rPr>
                <w:b/>
              </w:rPr>
            </w:pPr>
            <w:r w:rsidRPr="00B21797">
              <w:rPr>
                <w:b/>
              </w:rPr>
              <w:t xml:space="preserve">After the </w:t>
            </w:r>
            <w:proofErr w:type="spellStart"/>
            <w:r w:rsidRPr="00B21797">
              <w:rPr>
                <w:b/>
              </w:rPr>
              <w:t>eAssessment</w:t>
            </w:r>
            <w:proofErr w:type="spellEnd"/>
          </w:p>
          <w:p w14:paraId="468E3183" w14:textId="77777777" w:rsidR="009008FF" w:rsidRDefault="009008FF" w:rsidP="003402BC"/>
        </w:tc>
        <w:tc>
          <w:tcPr>
            <w:tcW w:w="11089" w:type="dxa"/>
          </w:tcPr>
          <w:p w14:paraId="580E468E" w14:textId="77777777" w:rsidR="009008FF" w:rsidRPr="00002669" w:rsidRDefault="009008FF" w:rsidP="003402BC">
            <w:r w:rsidRPr="00002669">
              <w:t>If appropriate, arrange for any marking to take place</w:t>
            </w:r>
          </w:p>
          <w:p w14:paraId="5220D69E" w14:textId="77777777" w:rsidR="009008FF" w:rsidRPr="00002669" w:rsidRDefault="009008FF" w:rsidP="003402BC">
            <w:r w:rsidRPr="00002669">
              <w:t>Approve marks and release these and feedback to students</w:t>
            </w:r>
          </w:p>
          <w:p w14:paraId="50D647A2" w14:textId="77777777" w:rsidR="009008FF" w:rsidRPr="00002669" w:rsidRDefault="009008FF" w:rsidP="003402BC">
            <w:r w:rsidRPr="00002669">
              <w:t xml:space="preserve">If marks do not automatically enter the </w:t>
            </w:r>
            <w:proofErr w:type="spellStart"/>
            <w:r w:rsidRPr="00002669">
              <w:t>GradeCentre</w:t>
            </w:r>
            <w:proofErr w:type="spellEnd"/>
            <w:r w:rsidRPr="00002669">
              <w:t xml:space="preserve">, add them to the </w:t>
            </w:r>
            <w:proofErr w:type="spellStart"/>
            <w:r w:rsidRPr="00002669">
              <w:t>GradeCentre</w:t>
            </w:r>
            <w:proofErr w:type="spellEnd"/>
            <w:r w:rsidRPr="00002669">
              <w:t xml:space="preserve"> </w:t>
            </w:r>
          </w:p>
          <w:p w14:paraId="36B598DE" w14:textId="77777777" w:rsidR="009008FF" w:rsidRDefault="009008FF" w:rsidP="003402BC"/>
        </w:tc>
      </w:tr>
    </w:tbl>
    <w:p w14:paraId="3A85A4E4" w14:textId="72616B90" w:rsidR="00C715F6" w:rsidRDefault="00C715F6" w:rsidP="0012706C"/>
    <w:p w14:paraId="6C3DF7B9" w14:textId="77777777" w:rsidR="00FB3F9B" w:rsidRDefault="00FB3F9B" w:rsidP="0012706C"/>
    <w:p w14:paraId="2FDB0225" w14:textId="7FEE1BFB" w:rsidR="00FB3F9B" w:rsidRDefault="00FB3F9B" w:rsidP="00FB3F9B">
      <w:pPr>
        <w:pStyle w:val="Heading2"/>
      </w:pPr>
      <w:r>
        <w:t>References</w:t>
      </w:r>
    </w:p>
    <w:p w14:paraId="663C7FE5" w14:textId="77777777" w:rsidR="00FB3F9B" w:rsidRPr="00FB3F9B" w:rsidRDefault="00FB3F9B" w:rsidP="00FB3F9B">
      <w:r w:rsidRPr="00FB3F9B">
        <w:t>Nottingham University, e-Assessment Policy</w:t>
      </w:r>
    </w:p>
    <w:p w14:paraId="20555FE2" w14:textId="2CE94E2A" w:rsidR="00FB3F9B" w:rsidRPr="00FB3F9B" w:rsidRDefault="00C67409" w:rsidP="00FB3F9B">
      <w:hyperlink r:id="rId14" w:history="1">
        <w:r w:rsidR="00FB3F9B" w:rsidRPr="00FB3F9B">
          <w:rPr>
            <w:rFonts w:cs="Tahoma"/>
            <w:color w:val="0000E3"/>
            <w:u w:val="single" w:color="0000E3"/>
            <w:lang w:val="en-US" w:eastAsia="ja-JP"/>
          </w:rPr>
          <w:t>http://www.nottingham.ac.uk/academicservices/qualitymanual/assessmentandawards/e-assessment-policy.aspx</w:t>
        </w:r>
      </w:hyperlink>
      <w:r w:rsidR="00FB3F9B">
        <w:rPr>
          <w:rFonts w:cs="Tahoma"/>
          <w:color w:val="132857"/>
          <w:sz w:val="26"/>
          <w:szCs w:val="26"/>
          <w:lang w:val="en-US" w:eastAsia="ja-JP"/>
        </w:rPr>
        <w:t xml:space="preserve"> </w:t>
      </w:r>
    </w:p>
    <w:sectPr w:rsidR="00FB3F9B" w:rsidRPr="00FB3F9B" w:rsidSect="007F3733">
      <w:pgSz w:w="16820" w:h="11900"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872F6" w14:textId="77777777" w:rsidR="00C67409" w:rsidRDefault="00C67409" w:rsidP="00506B78">
      <w:r>
        <w:separator/>
      </w:r>
    </w:p>
  </w:endnote>
  <w:endnote w:type="continuationSeparator" w:id="0">
    <w:p w14:paraId="0DCEEE7D" w14:textId="77777777" w:rsidR="00C67409" w:rsidRDefault="00C67409" w:rsidP="0050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461928"/>
      <w:docPartObj>
        <w:docPartGallery w:val="Page Numbers (Bottom of Page)"/>
        <w:docPartUnique/>
      </w:docPartObj>
    </w:sdtPr>
    <w:sdtEndPr/>
    <w:sdtContent>
      <w:sdt>
        <w:sdtPr>
          <w:id w:val="1728636285"/>
          <w:docPartObj>
            <w:docPartGallery w:val="Page Numbers (Top of Page)"/>
            <w:docPartUnique/>
          </w:docPartObj>
        </w:sdtPr>
        <w:sdtEndPr/>
        <w:sdtContent>
          <w:p w14:paraId="197D4570" w14:textId="5209D892" w:rsidR="00506B78" w:rsidRDefault="00506B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45C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45CA">
              <w:rPr>
                <w:b/>
                <w:bCs/>
                <w:noProof/>
              </w:rPr>
              <w:t>5</w:t>
            </w:r>
            <w:r>
              <w:rPr>
                <w:b/>
                <w:bCs/>
                <w:sz w:val="24"/>
                <w:szCs w:val="24"/>
              </w:rPr>
              <w:fldChar w:fldCharType="end"/>
            </w:r>
          </w:p>
        </w:sdtContent>
      </w:sdt>
    </w:sdtContent>
  </w:sdt>
  <w:p w14:paraId="0F3D8C80" w14:textId="77777777" w:rsidR="00506B78" w:rsidRDefault="00506B78" w:rsidP="00506B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48192" w14:textId="77777777" w:rsidR="00C67409" w:rsidRDefault="00C67409" w:rsidP="00506B78">
      <w:r>
        <w:separator/>
      </w:r>
    </w:p>
  </w:footnote>
  <w:footnote w:type="continuationSeparator" w:id="0">
    <w:p w14:paraId="12E7C0B8" w14:textId="77777777" w:rsidR="00C67409" w:rsidRDefault="00C67409" w:rsidP="00506B78">
      <w:r>
        <w:continuationSeparator/>
      </w:r>
    </w:p>
  </w:footnote>
  <w:footnote w:id="1">
    <w:p w14:paraId="60141182" w14:textId="00268973" w:rsidR="000768EC" w:rsidRDefault="000768EC">
      <w:pPr>
        <w:pStyle w:val="FootnoteText"/>
      </w:pPr>
      <w:r>
        <w:rPr>
          <w:rStyle w:val="FootnoteReference"/>
        </w:rPr>
        <w:footnoteRef/>
      </w:r>
      <w:r>
        <w:t xml:space="preserve"> </w:t>
      </w:r>
      <w:hyperlink r:id="rId1" w:history="1">
        <w:r w:rsidRPr="00046BC0">
          <w:rPr>
            <w:rStyle w:val="Hyperlink"/>
          </w:rPr>
          <w:t>https://staff.brighton.ac.uk/reg/acs/docs/Moderation%20guidelines%20-%20final%2001-2015.pdf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21D12" w14:textId="53D2F7A0" w:rsidR="00506B78" w:rsidRPr="00506B78" w:rsidRDefault="00506B78" w:rsidP="00506B78">
    <w:pPr>
      <w:pStyle w:val="Header"/>
      <w:jc w:val="right"/>
      <w:rPr>
        <w:b/>
      </w:rPr>
    </w:pPr>
    <w:r w:rsidRPr="00506B78">
      <w:rPr>
        <w:b/>
      </w:rPr>
      <w:t>LTC15-35</w:t>
    </w:r>
    <w:r w:rsidR="009472E8">
      <w:rPr>
        <w:b/>
      </w:rPr>
      <w:t xml:space="preserve"> - 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458"/>
    <w:multiLevelType w:val="multilevel"/>
    <w:tmpl w:val="A1DC1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3B25BC"/>
    <w:multiLevelType w:val="hybridMultilevel"/>
    <w:tmpl w:val="CB30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814B6"/>
    <w:multiLevelType w:val="multilevel"/>
    <w:tmpl w:val="9C76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00E27"/>
    <w:multiLevelType w:val="multilevel"/>
    <w:tmpl w:val="4C14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E5952"/>
    <w:multiLevelType w:val="hybridMultilevel"/>
    <w:tmpl w:val="CB30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B4D04"/>
    <w:multiLevelType w:val="hybridMultilevel"/>
    <w:tmpl w:val="CB30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E4A2E"/>
    <w:multiLevelType w:val="hybridMultilevel"/>
    <w:tmpl w:val="CB30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714D1"/>
    <w:multiLevelType w:val="hybridMultilevel"/>
    <w:tmpl w:val="8EB2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54611"/>
    <w:multiLevelType w:val="hybridMultilevel"/>
    <w:tmpl w:val="62C8F1FC"/>
    <w:lvl w:ilvl="0" w:tplc="F5B607E4">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37542"/>
    <w:multiLevelType w:val="hybridMultilevel"/>
    <w:tmpl w:val="A1DC1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E1FEC"/>
    <w:multiLevelType w:val="hybridMultilevel"/>
    <w:tmpl w:val="C324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55470"/>
    <w:multiLevelType w:val="hybridMultilevel"/>
    <w:tmpl w:val="3D4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82357"/>
    <w:multiLevelType w:val="hybridMultilevel"/>
    <w:tmpl w:val="AF96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7730D"/>
    <w:multiLevelType w:val="multilevel"/>
    <w:tmpl w:val="FCA6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D521C"/>
    <w:multiLevelType w:val="hybridMultilevel"/>
    <w:tmpl w:val="9C06FDA8"/>
    <w:lvl w:ilvl="0" w:tplc="9F62207E">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54A27"/>
    <w:multiLevelType w:val="multilevel"/>
    <w:tmpl w:val="09A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04E3E"/>
    <w:multiLevelType w:val="hybridMultilevel"/>
    <w:tmpl w:val="BCF6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77C83"/>
    <w:multiLevelType w:val="hybridMultilevel"/>
    <w:tmpl w:val="E816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C3806"/>
    <w:multiLevelType w:val="hybridMultilevel"/>
    <w:tmpl w:val="AF96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33648"/>
    <w:multiLevelType w:val="multilevel"/>
    <w:tmpl w:val="A1DC1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5"/>
  </w:num>
  <w:num w:numId="4">
    <w:abstractNumId w:val="9"/>
  </w:num>
  <w:num w:numId="5">
    <w:abstractNumId w:val="10"/>
  </w:num>
  <w:num w:numId="6">
    <w:abstractNumId w:val="18"/>
  </w:num>
  <w:num w:numId="7">
    <w:abstractNumId w:val="2"/>
  </w:num>
  <w:num w:numId="8">
    <w:abstractNumId w:val="15"/>
  </w:num>
  <w:num w:numId="9">
    <w:abstractNumId w:val="13"/>
  </w:num>
  <w:num w:numId="10">
    <w:abstractNumId w:val="3"/>
  </w:num>
  <w:num w:numId="11">
    <w:abstractNumId w:val="17"/>
  </w:num>
  <w:num w:numId="12">
    <w:abstractNumId w:val="16"/>
  </w:num>
  <w:num w:numId="13">
    <w:abstractNumId w:val="11"/>
  </w:num>
  <w:num w:numId="14">
    <w:abstractNumId w:val="0"/>
  </w:num>
  <w:num w:numId="15">
    <w:abstractNumId w:val="14"/>
  </w:num>
  <w:num w:numId="16">
    <w:abstractNumId w:val="19"/>
  </w:num>
  <w:num w:numId="17">
    <w:abstractNumId w:val="8"/>
  </w:num>
  <w:num w:numId="18">
    <w:abstractNumId w:val="6"/>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D"/>
    <w:rsid w:val="000014DE"/>
    <w:rsid w:val="00002669"/>
    <w:rsid w:val="00010649"/>
    <w:rsid w:val="00027FB9"/>
    <w:rsid w:val="00057743"/>
    <w:rsid w:val="000738BB"/>
    <w:rsid w:val="000768EC"/>
    <w:rsid w:val="00081DC4"/>
    <w:rsid w:val="0009777D"/>
    <w:rsid w:val="000B7DD4"/>
    <w:rsid w:val="000C38FA"/>
    <w:rsid w:val="000F6E4A"/>
    <w:rsid w:val="00100B54"/>
    <w:rsid w:val="0012199C"/>
    <w:rsid w:val="0012706C"/>
    <w:rsid w:val="00134962"/>
    <w:rsid w:val="001500D3"/>
    <w:rsid w:val="001B101F"/>
    <w:rsid w:val="001E6FCB"/>
    <w:rsid w:val="0020343A"/>
    <w:rsid w:val="0022154D"/>
    <w:rsid w:val="00223E9B"/>
    <w:rsid w:val="00253D7B"/>
    <w:rsid w:val="00287CE4"/>
    <w:rsid w:val="002A5C5E"/>
    <w:rsid w:val="002B242D"/>
    <w:rsid w:val="002E7EAD"/>
    <w:rsid w:val="00300ECD"/>
    <w:rsid w:val="00306662"/>
    <w:rsid w:val="00334E63"/>
    <w:rsid w:val="003402BC"/>
    <w:rsid w:val="003744D5"/>
    <w:rsid w:val="003C2C2C"/>
    <w:rsid w:val="004020F4"/>
    <w:rsid w:val="00416A75"/>
    <w:rsid w:val="00435D98"/>
    <w:rsid w:val="00442CC6"/>
    <w:rsid w:val="00447CEE"/>
    <w:rsid w:val="004C04EB"/>
    <w:rsid w:val="00506B78"/>
    <w:rsid w:val="00552661"/>
    <w:rsid w:val="00561022"/>
    <w:rsid w:val="00573398"/>
    <w:rsid w:val="00611097"/>
    <w:rsid w:val="006300BD"/>
    <w:rsid w:val="006348FB"/>
    <w:rsid w:val="00651048"/>
    <w:rsid w:val="006739E7"/>
    <w:rsid w:val="006B3BFF"/>
    <w:rsid w:val="006C701C"/>
    <w:rsid w:val="006D1B07"/>
    <w:rsid w:val="006F11B2"/>
    <w:rsid w:val="006F65D4"/>
    <w:rsid w:val="007B2179"/>
    <w:rsid w:val="007B36BD"/>
    <w:rsid w:val="007F3733"/>
    <w:rsid w:val="00802E9C"/>
    <w:rsid w:val="00817091"/>
    <w:rsid w:val="00853CEC"/>
    <w:rsid w:val="00882EDB"/>
    <w:rsid w:val="008D50EF"/>
    <w:rsid w:val="009008FF"/>
    <w:rsid w:val="00912F32"/>
    <w:rsid w:val="009472E8"/>
    <w:rsid w:val="00993522"/>
    <w:rsid w:val="009E6AFC"/>
    <w:rsid w:val="00AD040A"/>
    <w:rsid w:val="00B1263E"/>
    <w:rsid w:val="00BC552A"/>
    <w:rsid w:val="00BD5643"/>
    <w:rsid w:val="00BF45CA"/>
    <w:rsid w:val="00C56C71"/>
    <w:rsid w:val="00C623D2"/>
    <w:rsid w:val="00C64882"/>
    <w:rsid w:val="00C673ED"/>
    <w:rsid w:val="00C67409"/>
    <w:rsid w:val="00C715F6"/>
    <w:rsid w:val="00D1418A"/>
    <w:rsid w:val="00D21000"/>
    <w:rsid w:val="00D41199"/>
    <w:rsid w:val="00D73089"/>
    <w:rsid w:val="00D74DF1"/>
    <w:rsid w:val="00DF153B"/>
    <w:rsid w:val="00E11C0F"/>
    <w:rsid w:val="00E23EE6"/>
    <w:rsid w:val="00E51AD0"/>
    <w:rsid w:val="00E84A8C"/>
    <w:rsid w:val="00E9172A"/>
    <w:rsid w:val="00EA5B64"/>
    <w:rsid w:val="00EB3FE4"/>
    <w:rsid w:val="00F4043A"/>
    <w:rsid w:val="00F521FD"/>
    <w:rsid w:val="00F561EE"/>
    <w:rsid w:val="00F74995"/>
    <w:rsid w:val="00F75CD1"/>
    <w:rsid w:val="00F77BD0"/>
    <w:rsid w:val="00F84A0A"/>
    <w:rsid w:val="00FB3F9B"/>
    <w:rsid w:val="00FB5265"/>
    <w:rsid w:val="00FD4088"/>
    <w:rsid w:val="00FF3426"/>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C7601"/>
  <w14:defaultImageDpi w14:val="300"/>
  <w15:docId w15:val="{7E283763-2DBF-489D-82D4-49870BB3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426"/>
    <w:rPr>
      <w:rFonts w:ascii="Arial" w:eastAsiaTheme="minorHAnsi" w:hAnsi="Arial"/>
      <w:sz w:val="22"/>
      <w:szCs w:val="22"/>
      <w:lang w:val="en-GB" w:eastAsia="en-US"/>
    </w:rPr>
  </w:style>
  <w:style w:type="paragraph" w:styleId="Heading1">
    <w:name w:val="heading 1"/>
    <w:basedOn w:val="Normal"/>
    <w:next w:val="Normal"/>
    <w:link w:val="Heading1Char"/>
    <w:uiPriority w:val="9"/>
    <w:qFormat/>
    <w:rsid w:val="001500D3"/>
    <w:pPr>
      <w:keepNext/>
      <w:keepLines/>
      <w:outlineLvl w:val="0"/>
    </w:pPr>
    <w:rPr>
      <w:rFonts w:eastAsiaTheme="majorEastAsia" w:cstheme="majorBidi"/>
      <w:b/>
      <w:bCs/>
      <w:color w:val="345A8A" w:themeColor="accent1" w:themeShade="B5"/>
      <w:sz w:val="24"/>
      <w:szCs w:val="32"/>
      <w:lang w:val="en-US" w:eastAsia="ja-JP"/>
    </w:rPr>
  </w:style>
  <w:style w:type="paragraph" w:styleId="Heading2">
    <w:name w:val="heading 2"/>
    <w:basedOn w:val="Normal"/>
    <w:next w:val="Normal"/>
    <w:link w:val="Heading2Char"/>
    <w:uiPriority w:val="9"/>
    <w:unhideWhenUsed/>
    <w:qFormat/>
    <w:rsid w:val="00EB3FE4"/>
    <w:pPr>
      <w:keepNext/>
      <w:keepLines/>
      <w:outlineLvl w:val="1"/>
    </w:pPr>
    <w:rPr>
      <w:rFonts w:eastAsiaTheme="majorEastAsia" w:cstheme="majorBidi"/>
      <w:b/>
      <w:bCs/>
      <w:szCs w:val="26"/>
      <w:lang w:val="en-US" w:eastAsia="ja-JP"/>
    </w:rPr>
  </w:style>
  <w:style w:type="paragraph" w:styleId="Heading3">
    <w:name w:val="heading 3"/>
    <w:basedOn w:val="Normal"/>
    <w:next w:val="Normal"/>
    <w:link w:val="Heading3Char"/>
    <w:autoRedefine/>
    <w:uiPriority w:val="9"/>
    <w:unhideWhenUsed/>
    <w:qFormat/>
    <w:rsid w:val="00F521FD"/>
    <w:pPr>
      <w:keepNext/>
      <w:keepLines/>
      <w:spacing w:before="200"/>
      <w:outlineLvl w:val="2"/>
    </w:pPr>
    <w:rPr>
      <w:rFonts w:eastAsiaTheme="majorEastAsia" w:cstheme="majorBidi"/>
      <w:b/>
      <w:bCs/>
      <w:i/>
      <w:sz w:val="24"/>
      <w:szCs w:val="24"/>
      <w:lang w:val="en-US" w:eastAsia="ja-JP"/>
    </w:rPr>
  </w:style>
  <w:style w:type="paragraph" w:styleId="Heading4">
    <w:name w:val="heading 4"/>
    <w:basedOn w:val="Normal"/>
    <w:next w:val="Normal"/>
    <w:link w:val="Heading4Char"/>
    <w:autoRedefine/>
    <w:uiPriority w:val="9"/>
    <w:unhideWhenUsed/>
    <w:qFormat/>
    <w:rsid w:val="00561022"/>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FE4"/>
    <w:rPr>
      <w:rFonts w:ascii="Arial" w:eastAsiaTheme="majorEastAsia" w:hAnsi="Arial" w:cstheme="majorBidi"/>
      <w:b/>
      <w:bCs/>
      <w:sz w:val="22"/>
      <w:szCs w:val="26"/>
    </w:rPr>
  </w:style>
  <w:style w:type="character" w:customStyle="1" w:styleId="Heading3Char">
    <w:name w:val="Heading 3 Char"/>
    <w:basedOn w:val="DefaultParagraphFont"/>
    <w:link w:val="Heading3"/>
    <w:uiPriority w:val="9"/>
    <w:rsid w:val="00F521FD"/>
    <w:rPr>
      <w:rFonts w:ascii="Arial" w:eastAsiaTheme="majorEastAsia" w:hAnsi="Arial" w:cstheme="majorBidi"/>
      <w:b/>
      <w:bCs/>
      <w:i/>
    </w:rPr>
  </w:style>
  <w:style w:type="character" w:customStyle="1" w:styleId="Heading1Char">
    <w:name w:val="Heading 1 Char"/>
    <w:basedOn w:val="DefaultParagraphFont"/>
    <w:link w:val="Heading1"/>
    <w:uiPriority w:val="9"/>
    <w:rsid w:val="001500D3"/>
    <w:rPr>
      <w:rFonts w:ascii="Arial" w:eastAsiaTheme="majorEastAsia" w:hAnsi="Arial" w:cstheme="majorBidi"/>
      <w:b/>
      <w:bCs/>
      <w:color w:val="345A8A" w:themeColor="accent1" w:themeShade="B5"/>
      <w:szCs w:val="32"/>
    </w:rPr>
  </w:style>
  <w:style w:type="character" w:customStyle="1" w:styleId="Heading4Char">
    <w:name w:val="Heading 4 Char"/>
    <w:basedOn w:val="DefaultParagraphFont"/>
    <w:link w:val="Heading4"/>
    <w:uiPriority w:val="9"/>
    <w:rsid w:val="00561022"/>
    <w:rPr>
      <w:rFonts w:ascii="Arial" w:eastAsiaTheme="majorEastAsia" w:hAnsi="Arial" w:cstheme="majorBidi"/>
      <w:bCs/>
      <w:i/>
      <w:iCs/>
      <w:sz w:val="22"/>
      <w:szCs w:val="22"/>
      <w:lang w:eastAsia="en-US"/>
    </w:rPr>
  </w:style>
  <w:style w:type="paragraph" w:styleId="Quote">
    <w:name w:val="Quote"/>
    <w:basedOn w:val="Normal"/>
    <w:next w:val="Normal"/>
    <w:link w:val="QuoteChar"/>
    <w:autoRedefine/>
    <w:uiPriority w:val="29"/>
    <w:qFormat/>
    <w:rsid w:val="00561022"/>
    <w:pPr>
      <w:ind w:left="720"/>
    </w:pPr>
    <w:rPr>
      <w:i/>
      <w:iCs/>
    </w:rPr>
  </w:style>
  <w:style w:type="character" w:customStyle="1" w:styleId="QuoteChar">
    <w:name w:val="Quote Char"/>
    <w:basedOn w:val="DefaultParagraphFont"/>
    <w:link w:val="Quote"/>
    <w:uiPriority w:val="29"/>
    <w:rsid w:val="00561022"/>
    <w:rPr>
      <w:rFonts w:ascii="Arial" w:eastAsia="Times New Roman" w:hAnsi="Arial" w:cs="Times New Roman"/>
      <w:i/>
      <w:iCs/>
      <w:color w:val="000000" w:themeColor="text1"/>
      <w:sz w:val="22"/>
      <w:szCs w:val="20"/>
      <w:lang w:eastAsia="en-US"/>
    </w:rPr>
  </w:style>
  <w:style w:type="paragraph" w:styleId="ListParagraph">
    <w:name w:val="List Paragraph"/>
    <w:basedOn w:val="Normal"/>
    <w:uiPriority w:val="34"/>
    <w:qFormat/>
    <w:rsid w:val="00C64882"/>
    <w:pPr>
      <w:ind w:left="720"/>
      <w:contextualSpacing/>
    </w:pPr>
  </w:style>
  <w:style w:type="paragraph" w:styleId="BalloonText">
    <w:name w:val="Balloon Text"/>
    <w:basedOn w:val="Normal"/>
    <w:link w:val="BalloonTextChar"/>
    <w:uiPriority w:val="99"/>
    <w:semiHidden/>
    <w:unhideWhenUsed/>
    <w:rsid w:val="00C64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882"/>
    <w:rPr>
      <w:rFonts w:ascii="Lucida Grande" w:eastAsiaTheme="minorHAnsi" w:hAnsi="Lucida Grande" w:cs="Lucida Grande"/>
      <w:sz w:val="18"/>
      <w:szCs w:val="18"/>
      <w:lang w:val="en-GB" w:eastAsia="en-US"/>
    </w:rPr>
  </w:style>
  <w:style w:type="character" w:styleId="CommentReference">
    <w:name w:val="annotation reference"/>
    <w:basedOn w:val="DefaultParagraphFont"/>
    <w:uiPriority w:val="99"/>
    <w:semiHidden/>
    <w:unhideWhenUsed/>
    <w:rsid w:val="00C64882"/>
    <w:rPr>
      <w:sz w:val="18"/>
      <w:szCs w:val="18"/>
    </w:rPr>
  </w:style>
  <w:style w:type="paragraph" w:styleId="CommentText">
    <w:name w:val="annotation text"/>
    <w:basedOn w:val="Normal"/>
    <w:link w:val="CommentTextChar"/>
    <w:uiPriority w:val="99"/>
    <w:semiHidden/>
    <w:unhideWhenUsed/>
    <w:rsid w:val="00C64882"/>
    <w:rPr>
      <w:sz w:val="24"/>
      <w:szCs w:val="24"/>
    </w:rPr>
  </w:style>
  <w:style w:type="character" w:customStyle="1" w:styleId="CommentTextChar">
    <w:name w:val="Comment Text Char"/>
    <w:basedOn w:val="DefaultParagraphFont"/>
    <w:link w:val="CommentText"/>
    <w:uiPriority w:val="99"/>
    <w:semiHidden/>
    <w:rsid w:val="00C64882"/>
    <w:rPr>
      <w:rFonts w:ascii="Arial" w:eastAsiaTheme="minorHAnsi" w:hAnsi="Arial"/>
      <w:lang w:val="en-GB" w:eastAsia="en-US"/>
    </w:rPr>
  </w:style>
  <w:style w:type="paragraph" w:styleId="CommentSubject">
    <w:name w:val="annotation subject"/>
    <w:basedOn w:val="CommentText"/>
    <w:next w:val="CommentText"/>
    <w:link w:val="CommentSubjectChar"/>
    <w:uiPriority w:val="99"/>
    <w:semiHidden/>
    <w:unhideWhenUsed/>
    <w:rsid w:val="00C64882"/>
    <w:rPr>
      <w:b/>
      <w:bCs/>
      <w:sz w:val="20"/>
      <w:szCs w:val="20"/>
    </w:rPr>
  </w:style>
  <w:style w:type="character" w:customStyle="1" w:styleId="CommentSubjectChar">
    <w:name w:val="Comment Subject Char"/>
    <w:basedOn w:val="CommentTextChar"/>
    <w:link w:val="CommentSubject"/>
    <w:uiPriority w:val="99"/>
    <w:semiHidden/>
    <w:rsid w:val="00C64882"/>
    <w:rPr>
      <w:rFonts w:ascii="Arial" w:eastAsiaTheme="minorHAnsi" w:hAnsi="Arial"/>
      <w:b/>
      <w:bCs/>
      <w:sz w:val="20"/>
      <w:szCs w:val="20"/>
      <w:lang w:val="en-GB" w:eastAsia="en-US"/>
    </w:rPr>
  </w:style>
  <w:style w:type="paragraph" w:styleId="Revision">
    <w:name w:val="Revision"/>
    <w:hidden/>
    <w:uiPriority w:val="99"/>
    <w:semiHidden/>
    <w:rsid w:val="00BC552A"/>
    <w:rPr>
      <w:rFonts w:ascii="Arial" w:eastAsiaTheme="minorHAnsi" w:hAnsi="Arial"/>
      <w:sz w:val="22"/>
      <w:szCs w:val="22"/>
      <w:lang w:val="en-GB" w:eastAsia="en-US"/>
    </w:rPr>
  </w:style>
  <w:style w:type="table" w:styleId="TableGrid">
    <w:name w:val="Table Grid"/>
    <w:basedOn w:val="TableNormal"/>
    <w:uiPriority w:val="59"/>
    <w:rsid w:val="002A5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B78"/>
    <w:pPr>
      <w:tabs>
        <w:tab w:val="center" w:pos="4513"/>
        <w:tab w:val="right" w:pos="9026"/>
      </w:tabs>
    </w:pPr>
  </w:style>
  <w:style w:type="character" w:customStyle="1" w:styleId="HeaderChar">
    <w:name w:val="Header Char"/>
    <w:basedOn w:val="DefaultParagraphFont"/>
    <w:link w:val="Header"/>
    <w:uiPriority w:val="99"/>
    <w:rsid w:val="00506B78"/>
    <w:rPr>
      <w:rFonts w:ascii="Arial" w:eastAsiaTheme="minorHAnsi" w:hAnsi="Arial"/>
      <w:sz w:val="22"/>
      <w:szCs w:val="22"/>
      <w:lang w:val="en-GB" w:eastAsia="en-US"/>
    </w:rPr>
  </w:style>
  <w:style w:type="paragraph" w:styleId="Footer">
    <w:name w:val="footer"/>
    <w:basedOn w:val="Normal"/>
    <w:link w:val="FooterChar"/>
    <w:uiPriority w:val="99"/>
    <w:unhideWhenUsed/>
    <w:rsid w:val="00506B78"/>
    <w:pPr>
      <w:tabs>
        <w:tab w:val="center" w:pos="4513"/>
        <w:tab w:val="right" w:pos="9026"/>
      </w:tabs>
    </w:pPr>
  </w:style>
  <w:style w:type="character" w:customStyle="1" w:styleId="FooterChar">
    <w:name w:val="Footer Char"/>
    <w:basedOn w:val="DefaultParagraphFont"/>
    <w:link w:val="Footer"/>
    <w:uiPriority w:val="99"/>
    <w:rsid w:val="00506B78"/>
    <w:rPr>
      <w:rFonts w:ascii="Arial" w:eastAsiaTheme="minorHAnsi" w:hAnsi="Arial"/>
      <w:sz w:val="22"/>
      <w:szCs w:val="22"/>
      <w:lang w:val="en-GB" w:eastAsia="en-US"/>
    </w:rPr>
  </w:style>
  <w:style w:type="character" w:styleId="Hyperlink">
    <w:name w:val="Hyperlink"/>
    <w:basedOn w:val="DefaultParagraphFont"/>
    <w:uiPriority w:val="99"/>
    <w:unhideWhenUsed/>
    <w:rsid w:val="00993522"/>
    <w:rPr>
      <w:color w:val="0000FF" w:themeColor="hyperlink"/>
      <w:u w:val="single"/>
    </w:rPr>
  </w:style>
  <w:style w:type="paragraph" w:styleId="FootnoteText">
    <w:name w:val="footnote text"/>
    <w:basedOn w:val="Normal"/>
    <w:link w:val="FootnoteTextChar"/>
    <w:uiPriority w:val="99"/>
    <w:semiHidden/>
    <w:unhideWhenUsed/>
    <w:rsid w:val="00993522"/>
    <w:rPr>
      <w:sz w:val="20"/>
      <w:szCs w:val="20"/>
    </w:rPr>
  </w:style>
  <w:style w:type="character" w:customStyle="1" w:styleId="FootnoteTextChar">
    <w:name w:val="Footnote Text Char"/>
    <w:basedOn w:val="DefaultParagraphFont"/>
    <w:link w:val="FootnoteText"/>
    <w:uiPriority w:val="99"/>
    <w:semiHidden/>
    <w:rsid w:val="00993522"/>
    <w:rPr>
      <w:rFonts w:ascii="Arial" w:eastAsiaTheme="minorHAnsi" w:hAnsi="Arial"/>
      <w:sz w:val="20"/>
      <w:szCs w:val="20"/>
      <w:lang w:val="en-GB" w:eastAsia="en-US"/>
    </w:rPr>
  </w:style>
  <w:style w:type="character" w:styleId="FootnoteReference">
    <w:name w:val="footnote reference"/>
    <w:basedOn w:val="DefaultParagraphFont"/>
    <w:uiPriority w:val="99"/>
    <w:semiHidden/>
    <w:unhideWhenUsed/>
    <w:rsid w:val="00993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brighton.ac.uk/reg/acs/docs/Moderation%20guidelines%20-%20final%2001-201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mail.brighton.ac.uk/owa/redir.aspx?C=K9Cd8x95mUqy01XQrxZMCFGA76txndIIUswRx71MhDGYIHxQCa1C_Q_RMqx0ZnlmNtP9YoHTueQ.&amp;URL=http%3a%2f%2fwww.nottingham.ac.uk%2facademicservices%2fqualitymanual%2fassessmentandawards%2fe-assessment-policy.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ff.brighton.ac.uk/reg/acs/docs/Moderation%20guidelines%20-%20final%2001-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DA6A645F81445BF67F6BCA2DBF355" ma:contentTypeVersion="0" ma:contentTypeDescription="Create a new document." ma:contentTypeScope="" ma:versionID="e07940a4eb83d717be01a336f5e6a49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DC0E-7B4F-4EFD-B73D-A639D5551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F3A2CF-4374-489A-B243-A7AC0910D2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8811F-513C-4012-A833-BF7E9F451822}">
  <ds:schemaRefs>
    <ds:schemaRef ds:uri="http://schemas.microsoft.com/sharepoint/v3/contenttype/forms"/>
  </ds:schemaRefs>
</ds:datastoreItem>
</file>

<file path=customXml/itemProps4.xml><?xml version="1.0" encoding="utf-8"?>
<ds:datastoreItem xmlns:ds="http://schemas.openxmlformats.org/officeDocument/2006/customXml" ds:itemID="{D5F7B05A-D709-47D8-B861-9561AD03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Newland</dc:creator>
  <cp:lastModifiedBy>Barbara Newland</cp:lastModifiedBy>
  <cp:revision>4</cp:revision>
  <cp:lastPrinted>2015-07-30T17:21:00Z</cp:lastPrinted>
  <dcterms:created xsi:type="dcterms:W3CDTF">2016-02-10T10:54:00Z</dcterms:created>
  <dcterms:modified xsi:type="dcterms:W3CDTF">2016-02-10T10:56:00Z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0x010100757DA6A645F81445BF67F6BCA2DBF355</vt:lpwstr>
  </property>
  <property fmtid="{D5CDD505-2E9C-101B-9397-08002B2CF9AE}" pid="3" name="TaxKeyword">
    <vt:lpwstr/>
  </property>
  <property fmtid="{D5CDD505-2E9C-101B-9397-08002B2CF9AE}" pid="4" name="Committee">
    <vt:lpwstr>48;#Blended Learning Sub-Committee|617cb7b9-f7dd-4871-8ab6-9c74ccdfc74a</vt:lpwstr>
  </property>
  <property fmtid="{D5CDD505-2E9C-101B-9397-08002B2CF9AE}" pid="5" name="Department Owner">
    <vt:lpwstr>2;#Academic Services|6902214d-98b6-4a1e-8a7f-4de885ab7eb3</vt:lpwstr>
  </property>
</Properties>
</file>